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9731E5" w:rsidRPr="00DD013E" w:rsidTr="00DD013E">
        <w:tc>
          <w:tcPr>
            <w:tcW w:w="10740" w:type="dxa"/>
            <w:shd w:val="clear" w:color="auto" w:fill="D9D9D9"/>
          </w:tcPr>
          <w:p w:rsidR="009731E5" w:rsidRPr="00DD013E" w:rsidRDefault="00DE0178" w:rsidP="00DE0178">
            <w:pPr>
              <w:jc w:val="center"/>
              <w:rPr>
                <w:rFonts w:ascii="Calibri" w:hAnsi="Calibri" w:cs="Calibri"/>
                <w:b/>
                <w:sz w:val="28"/>
                <w:szCs w:val="28"/>
              </w:rPr>
            </w:pPr>
            <w:r>
              <w:rPr>
                <w:rFonts w:ascii="Calibri" w:hAnsi="Calibri" w:cs="Calibri"/>
                <w:b/>
                <w:sz w:val="28"/>
                <w:szCs w:val="28"/>
              </w:rPr>
              <w:t>Subject Access Request Procedure</w:t>
            </w:r>
          </w:p>
        </w:tc>
      </w:tr>
    </w:tbl>
    <w:p w:rsidR="006A0426" w:rsidRPr="00DD013E" w:rsidRDefault="006A0426">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51"/>
        <w:gridCol w:w="3714"/>
        <w:gridCol w:w="3718"/>
      </w:tblGrid>
      <w:tr w:rsidR="006A73BE" w:rsidRPr="00DD013E" w:rsidTr="00DD013E">
        <w:tc>
          <w:tcPr>
            <w:tcW w:w="1575" w:type="dxa"/>
            <w:shd w:val="clear" w:color="auto" w:fill="D9D9D9"/>
          </w:tcPr>
          <w:p w:rsidR="006A73BE" w:rsidRPr="00DD013E" w:rsidRDefault="006A73BE" w:rsidP="00A85337">
            <w:pPr>
              <w:jc w:val="center"/>
              <w:rPr>
                <w:rFonts w:ascii="Calibri" w:hAnsi="Calibri" w:cs="Calibri"/>
                <w:b/>
              </w:rPr>
            </w:pPr>
            <w:r w:rsidRPr="00DD013E">
              <w:rPr>
                <w:rFonts w:ascii="Calibri" w:hAnsi="Calibri" w:cs="Calibri"/>
                <w:b/>
              </w:rPr>
              <w:t>Date</w:t>
            </w:r>
          </w:p>
        </w:tc>
        <w:tc>
          <w:tcPr>
            <w:tcW w:w="1576" w:type="dxa"/>
            <w:shd w:val="clear" w:color="auto" w:fill="D9D9D9"/>
          </w:tcPr>
          <w:p w:rsidR="006A73BE" w:rsidRPr="00DD013E" w:rsidRDefault="006A73BE" w:rsidP="00A85337">
            <w:pPr>
              <w:jc w:val="center"/>
              <w:rPr>
                <w:rFonts w:ascii="Calibri" w:hAnsi="Calibri" w:cs="Calibri"/>
                <w:b/>
              </w:rPr>
            </w:pPr>
            <w:r w:rsidRPr="00DD013E">
              <w:rPr>
                <w:rFonts w:ascii="Calibri" w:hAnsi="Calibri" w:cs="Calibri"/>
                <w:b/>
              </w:rPr>
              <w:t>Review Date</w:t>
            </w:r>
          </w:p>
        </w:tc>
        <w:tc>
          <w:tcPr>
            <w:tcW w:w="3801" w:type="dxa"/>
            <w:shd w:val="clear" w:color="auto" w:fill="D9D9D9"/>
          </w:tcPr>
          <w:p w:rsidR="006A73BE" w:rsidRPr="00DD013E" w:rsidRDefault="006A73BE" w:rsidP="00A85337">
            <w:pPr>
              <w:jc w:val="center"/>
              <w:rPr>
                <w:rFonts w:ascii="Calibri" w:hAnsi="Calibri" w:cs="Calibri"/>
                <w:b/>
              </w:rPr>
            </w:pPr>
            <w:r w:rsidRPr="00DD013E">
              <w:rPr>
                <w:rFonts w:ascii="Calibri" w:hAnsi="Calibri" w:cs="Calibri"/>
                <w:b/>
              </w:rPr>
              <w:t>Coordinator</w:t>
            </w:r>
          </w:p>
        </w:tc>
        <w:tc>
          <w:tcPr>
            <w:tcW w:w="3802" w:type="dxa"/>
            <w:shd w:val="clear" w:color="auto" w:fill="D9D9D9"/>
          </w:tcPr>
          <w:p w:rsidR="006A73BE" w:rsidRPr="00DD013E" w:rsidRDefault="006A73BE" w:rsidP="00A85337">
            <w:pPr>
              <w:jc w:val="center"/>
              <w:rPr>
                <w:rFonts w:ascii="Calibri" w:hAnsi="Calibri" w:cs="Calibri"/>
                <w:b/>
              </w:rPr>
            </w:pPr>
            <w:r w:rsidRPr="00DD013E">
              <w:rPr>
                <w:rFonts w:ascii="Calibri" w:hAnsi="Calibri" w:cs="Calibri"/>
                <w:b/>
              </w:rPr>
              <w:t>Nominated Governor</w:t>
            </w:r>
            <w:r w:rsidR="00F06598">
              <w:rPr>
                <w:rFonts w:ascii="Calibri" w:hAnsi="Calibri" w:cs="Calibri"/>
                <w:b/>
              </w:rPr>
              <w:t>s</w:t>
            </w:r>
          </w:p>
        </w:tc>
      </w:tr>
      <w:tr w:rsidR="006A73BE" w:rsidRPr="00DD013E" w:rsidTr="00DD013E">
        <w:tc>
          <w:tcPr>
            <w:tcW w:w="1575" w:type="dxa"/>
          </w:tcPr>
          <w:p w:rsidR="006A73BE" w:rsidRPr="00A94F67" w:rsidRDefault="00A94F67" w:rsidP="003076E5">
            <w:pPr>
              <w:jc w:val="center"/>
              <w:rPr>
                <w:rFonts w:ascii="Arial" w:hAnsi="Arial" w:cs="Arial"/>
                <w:b/>
                <w:sz w:val="22"/>
                <w:szCs w:val="22"/>
              </w:rPr>
            </w:pPr>
            <w:r w:rsidRPr="00A94F67">
              <w:rPr>
                <w:rFonts w:ascii="Arial" w:hAnsi="Arial" w:cs="Arial"/>
                <w:b/>
                <w:sz w:val="22"/>
                <w:szCs w:val="22"/>
              </w:rPr>
              <w:t>May</w:t>
            </w:r>
            <w:r w:rsidR="00072B3D" w:rsidRPr="00A94F67">
              <w:rPr>
                <w:rFonts w:ascii="Arial" w:hAnsi="Arial" w:cs="Arial"/>
                <w:b/>
                <w:sz w:val="22"/>
                <w:szCs w:val="22"/>
              </w:rPr>
              <w:t xml:space="preserve"> 201</w:t>
            </w:r>
            <w:r w:rsidRPr="00A94F67">
              <w:rPr>
                <w:rFonts w:ascii="Arial" w:hAnsi="Arial" w:cs="Arial"/>
                <w:b/>
                <w:sz w:val="22"/>
                <w:szCs w:val="22"/>
              </w:rPr>
              <w:t>8</w:t>
            </w:r>
          </w:p>
        </w:tc>
        <w:tc>
          <w:tcPr>
            <w:tcW w:w="1576" w:type="dxa"/>
          </w:tcPr>
          <w:p w:rsidR="006A73BE" w:rsidRPr="00A94F67" w:rsidRDefault="00A94F67" w:rsidP="003076E5">
            <w:pPr>
              <w:jc w:val="center"/>
              <w:rPr>
                <w:rFonts w:ascii="Arial" w:hAnsi="Arial" w:cs="Arial"/>
                <w:b/>
                <w:sz w:val="22"/>
                <w:szCs w:val="22"/>
              </w:rPr>
            </w:pPr>
            <w:r w:rsidRPr="00A94F67">
              <w:rPr>
                <w:rFonts w:ascii="Arial" w:hAnsi="Arial" w:cs="Arial"/>
                <w:b/>
                <w:sz w:val="22"/>
                <w:szCs w:val="22"/>
              </w:rPr>
              <w:t>May</w:t>
            </w:r>
            <w:r w:rsidR="00072B3D" w:rsidRPr="00A94F67">
              <w:rPr>
                <w:rFonts w:ascii="Arial" w:hAnsi="Arial" w:cs="Arial"/>
                <w:b/>
                <w:sz w:val="22"/>
                <w:szCs w:val="22"/>
              </w:rPr>
              <w:t xml:space="preserve"> </w:t>
            </w:r>
            <w:r w:rsidRPr="00A94F67">
              <w:rPr>
                <w:rFonts w:ascii="Arial" w:hAnsi="Arial" w:cs="Arial"/>
                <w:b/>
                <w:sz w:val="22"/>
                <w:szCs w:val="22"/>
              </w:rPr>
              <w:t>2021</w:t>
            </w:r>
            <w:r w:rsidR="00DD013E" w:rsidRPr="00A94F67">
              <w:rPr>
                <w:rFonts w:ascii="Arial" w:hAnsi="Arial" w:cs="Arial"/>
                <w:b/>
                <w:sz w:val="22"/>
                <w:szCs w:val="22"/>
              </w:rPr>
              <w:t xml:space="preserve"> </w:t>
            </w:r>
          </w:p>
        </w:tc>
        <w:tc>
          <w:tcPr>
            <w:tcW w:w="3801" w:type="dxa"/>
          </w:tcPr>
          <w:p w:rsidR="006A73BE" w:rsidRPr="00A94F67" w:rsidRDefault="00A94F67" w:rsidP="00A85337">
            <w:pPr>
              <w:jc w:val="center"/>
              <w:rPr>
                <w:rFonts w:ascii="Arial" w:hAnsi="Arial" w:cs="Arial"/>
                <w:b/>
                <w:sz w:val="22"/>
                <w:szCs w:val="22"/>
              </w:rPr>
            </w:pPr>
            <w:r w:rsidRPr="00A94F67">
              <w:rPr>
                <w:rFonts w:ascii="Arial" w:hAnsi="Arial" w:cs="Arial"/>
                <w:b/>
                <w:sz w:val="22"/>
                <w:szCs w:val="22"/>
              </w:rPr>
              <w:t>Network Manager</w:t>
            </w:r>
          </w:p>
        </w:tc>
        <w:tc>
          <w:tcPr>
            <w:tcW w:w="3802" w:type="dxa"/>
          </w:tcPr>
          <w:p w:rsidR="006A73BE" w:rsidRPr="00A94F67" w:rsidRDefault="00F06598" w:rsidP="00A85337">
            <w:pPr>
              <w:jc w:val="center"/>
              <w:rPr>
                <w:rFonts w:ascii="Arial" w:hAnsi="Arial" w:cs="Arial"/>
                <w:b/>
                <w:sz w:val="22"/>
                <w:szCs w:val="22"/>
              </w:rPr>
            </w:pPr>
            <w:r w:rsidRPr="00A94F67">
              <w:rPr>
                <w:rFonts w:ascii="Arial" w:hAnsi="Arial" w:cs="Arial"/>
                <w:b/>
                <w:sz w:val="22"/>
                <w:szCs w:val="22"/>
              </w:rPr>
              <w:t>Full Governing Body</w:t>
            </w:r>
            <w:r w:rsidR="00DD013E" w:rsidRPr="00A94F67">
              <w:rPr>
                <w:rFonts w:ascii="Arial" w:hAnsi="Arial" w:cs="Arial"/>
                <w:b/>
                <w:sz w:val="22"/>
                <w:szCs w:val="22"/>
              </w:rPr>
              <w:t xml:space="preserve"> </w:t>
            </w:r>
          </w:p>
        </w:tc>
      </w:tr>
    </w:tbl>
    <w:p w:rsidR="009731E5" w:rsidRDefault="009731E5">
      <w:pPr>
        <w:rPr>
          <w:rFonts w:ascii="Calibri" w:hAnsi="Calibri" w:cs="Calibri"/>
        </w:rPr>
      </w:pPr>
    </w:p>
    <w:sdt>
      <w:sdtPr>
        <w:rPr>
          <w:caps w:val="0"/>
          <w:color w:val="auto"/>
          <w:spacing w:val="0"/>
          <w:sz w:val="20"/>
          <w:szCs w:val="20"/>
        </w:rPr>
        <w:id w:val="714774261"/>
        <w:docPartObj>
          <w:docPartGallery w:val="Table of Contents"/>
          <w:docPartUnique/>
        </w:docPartObj>
      </w:sdtPr>
      <w:sdtEndPr>
        <w:rPr>
          <w:b/>
          <w:bCs/>
          <w:noProof/>
        </w:rPr>
      </w:sdtEndPr>
      <w:sdtContent>
        <w:p w:rsidR="00654907" w:rsidRDefault="00654907">
          <w:pPr>
            <w:pStyle w:val="TOCHeading"/>
          </w:pPr>
          <w:r>
            <w:t>Contents</w:t>
          </w:r>
        </w:p>
        <w:p w:rsidR="00654907" w:rsidRDefault="00654907">
          <w:pPr>
            <w:pStyle w:val="TOC1"/>
            <w:tabs>
              <w:tab w:val="left" w:pos="440"/>
              <w:tab w:val="right" w:leader="dot" w:pos="10528"/>
            </w:tabs>
            <w:rPr>
              <w:rFonts w:cstheme="minorBidi"/>
              <w:noProof/>
              <w:lang w:val="en-GB" w:eastAsia="en-GB"/>
            </w:rPr>
          </w:pPr>
          <w:r>
            <w:fldChar w:fldCharType="begin"/>
          </w:r>
          <w:r>
            <w:instrText xml:space="preserve"> TOC \o "1-3" \h \z \u </w:instrText>
          </w:r>
          <w:r>
            <w:fldChar w:fldCharType="separate"/>
          </w:r>
          <w:hyperlink w:anchor="_Toc514145331" w:history="1">
            <w:r w:rsidRPr="00212917">
              <w:rPr>
                <w:rStyle w:val="Hyperlink"/>
                <w:noProof/>
              </w:rPr>
              <w:t>1.</w:t>
            </w:r>
            <w:r>
              <w:rPr>
                <w:rFonts w:cstheme="minorBidi"/>
                <w:noProof/>
                <w:lang w:val="en-GB" w:eastAsia="en-GB"/>
              </w:rPr>
              <w:tab/>
            </w:r>
            <w:r w:rsidRPr="00212917">
              <w:rPr>
                <w:rStyle w:val="Hyperlink"/>
                <w:noProof/>
              </w:rPr>
              <w:t>Introduction and purpose</w:t>
            </w:r>
            <w:r>
              <w:rPr>
                <w:noProof/>
                <w:webHidden/>
              </w:rPr>
              <w:tab/>
            </w:r>
            <w:r>
              <w:rPr>
                <w:noProof/>
                <w:webHidden/>
              </w:rPr>
              <w:fldChar w:fldCharType="begin"/>
            </w:r>
            <w:r>
              <w:rPr>
                <w:noProof/>
                <w:webHidden/>
              </w:rPr>
              <w:instrText xml:space="preserve"> PAGEREF _Toc514145331 \h </w:instrText>
            </w:r>
            <w:r>
              <w:rPr>
                <w:noProof/>
                <w:webHidden/>
              </w:rPr>
            </w:r>
            <w:r>
              <w:rPr>
                <w:noProof/>
                <w:webHidden/>
              </w:rPr>
              <w:fldChar w:fldCharType="separate"/>
            </w:r>
            <w:r w:rsidR="00755934">
              <w:rPr>
                <w:noProof/>
                <w:webHidden/>
              </w:rPr>
              <w:t>2</w:t>
            </w:r>
            <w:r>
              <w:rPr>
                <w:noProof/>
                <w:webHidden/>
              </w:rPr>
              <w:fldChar w:fldCharType="end"/>
            </w:r>
          </w:hyperlink>
        </w:p>
        <w:p w:rsidR="00654907" w:rsidRDefault="0071450D">
          <w:pPr>
            <w:pStyle w:val="TOC1"/>
            <w:tabs>
              <w:tab w:val="left" w:pos="440"/>
              <w:tab w:val="right" w:leader="dot" w:pos="10528"/>
            </w:tabs>
            <w:rPr>
              <w:rFonts w:cstheme="minorBidi"/>
              <w:noProof/>
              <w:lang w:val="en-GB" w:eastAsia="en-GB"/>
            </w:rPr>
          </w:pPr>
          <w:hyperlink w:anchor="_Toc514145332" w:history="1">
            <w:r w:rsidR="00654907" w:rsidRPr="00212917">
              <w:rPr>
                <w:rStyle w:val="Hyperlink"/>
                <w:noProof/>
              </w:rPr>
              <w:t>2.</w:t>
            </w:r>
            <w:r w:rsidR="00654907">
              <w:rPr>
                <w:rFonts w:cstheme="minorBidi"/>
                <w:noProof/>
                <w:lang w:val="en-GB" w:eastAsia="en-GB"/>
              </w:rPr>
              <w:tab/>
            </w:r>
            <w:r w:rsidR="00654907" w:rsidRPr="00212917">
              <w:rPr>
                <w:rStyle w:val="Hyperlink"/>
                <w:noProof/>
              </w:rPr>
              <w:t>How long do I have to complete a SAR</w:t>
            </w:r>
            <w:r w:rsidR="00654907">
              <w:rPr>
                <w:noProof/>
                <w:webHidden/>
              </w:rPr>
              <w:tab/>
            </w:r>
            <w:r w:rsidR="00654907">
              <w:rPr>
                <w:noProof/>
                <w:webHidden/>
              </w:rPr>
              <w:fldChar w:fldCharType="begin"/>
            </w:r>
            <w:r w:rsidR="00654907">
              <w:rPr>
                <w:noProof/>
                <w:webHidden/>
              </w:rPr>
              <w:instrText xml:space="preserve"> PAGEREF _Toc514145332 \h </w:instrText>
            </w:r>
            <w:r w:rsidR="00654907">
              <w:rPr>
                <w:noProof/>
                <w:webHidden/>
              </w:rPr>
            </w:r>
            <w:r w:rsidR="00654907">
              <w:rPr>
                <w:noProof/>
                <w:webHidden/>
              </w:rPr>
              <w:fldChar w:fldCharType="separate"/>
            </w:r>
            <w:r w:rsidR="00755934">
              <w:rPr>
                <w:noProof/>
                <w:webHidden/>
              </w:rPr>
              <w:t>2</w:t>
            </w:r>
            <w:r w:rsidR="00654907">
              <w:rPr>
                <w:noProof/>
                <w:webHidden/>
              </w:rPr>
              <w:fldChar w:fldCharType="end"/>
            </w:r>
          </w:hyperlink>
        </w:p>
        <w:p w:rsidR="00654907" w:rsidRDefault="0071450D">
          <w:pPr>
            <w:pStyle w:val="TOC1"/>
            <w:tabs>
              <w:tab w:val="left" w:pos="440"/>
              <w:tab w:val="right" w:leader="dot" w:pos="10528"/>
            </w:tabs>
            <w:rPr>
              <w:rFonts w:cstheme="minorBidi"/>
              <w:noProof/>
              <w:lang w:val="en-GB" w:eastAsia="en-GB"/>
            </w:rPr>
          </w:pPr>
          <w:hyperlink w:anchor="_Toc514145333" w:history="1">
            <w:r w:rsidR="00654907" w:rsidRPr="00212917">
              <w:rPr>
                <w:rStyle w:val="Hyperlink"/>
                <w:noProof/>
              </w:rPr>
              <w:t>3.</w:t>
            </w:r>
            <w:r w:rsidR="00654907">
              <w:rPr>
                <w:rFonts w:cstheme="minorBidi"/>
                <w:noProof/>
                <w:lang w:val="en-GB" w:eastAsia="en-GB"/>
              </w:rPr>
              <w:tab/>
            </w:r>
            <w:r w:rsidR="00654907" w:rsidRPr="00212917">
              <w:rPr>
                <w:rStyle w:val="Hyperlink"/>
                <w:noProof/>
              </w:rPr>
              <w:t>Who can submit a SAR</w:t>
            </w:r>
            <w:r w:rsidR="00654907">
              <w:rPr>
                <w:noProof/>
                <w:webHidden/>
              </w:rPr>
              <w:tab/>
            </w:r>
            <w:r w:rsidR="00654907">
              <w:rPr>
                <w:noProof/>
                <w:webHidden/>
              </w:rPr>
              <w:fldChar w:fldCharType="begin"/>
            </w:r>
            <w:r w:rsidR="00654907">
              <w:rPr>
                <w:noProof/>
                <w:webHidden/>
              </w:rPr>
              <w:instrText xml:space="preserve"> PAGEREF _Toc514145333 \h </w:instrText>
            </w:r>
            <w:r w:rsidR="00654907">
              <w:rPr>
                <w:noProof/>
                <w:webHidden/>
              </w:rPr>
            </w:r>
            <w:r w:rsidR="00654907">
              <w:rPr>
                <w:noProof/>
                <w:webHidden/>
              </w:rPr>
              <w:fldChar w:fldCharType="separate"/>
            </w:r>
            <w:r w:rsidR="00755934">
              <w:rPr>
                <w:noProof/>
                <w:webHidden/>
              </w:rPr>
              <w:t>2</w:t>
            </w:r>
            <w:r w:rsidR="00654907">
              <w:rPr>
                <w:noProof/>
                <w:webHidden/>
              </w:rPr>
              <w:fldChar w:fldCharType="end"/>
            </w:r>
          </w:hyperlink>
        </w:p>
        <w:p w:rsidR="00654907" w:rsidRDefault="0071450D">
          <w:pPr>
            <w:pStyle w:val="TOC1"/>
            <w:tabs>
              <w:tab w:val="left" w:pos="440"/>
              <w:tab w:val="right" w:leader="dot" w:pos="10528"/>
            </w:tabs>
            <w:rPr>
              <w:rFonts w:cstheme="minorBidi"/>
              <w:noProof/>
              <w:lang w:val="en-GB" w:eastAsia="en-GB"/>
            </w:rPr>
          </w:pPr>
          <w:hyperlink w:anchor="_Toc514145334" w:history="1">
            <w:r w:rsidR="00654907" w:rsidRPr="00212917">
              <w:rPr>
                <w:rStyle w:val="Hyperlink"/>
                <w:noProof/>
              </w:rPr>
              <w:t>4.</w:t>
            </w:r>
            <w:r w:rsidR="00654907">
              <w:rPr>
                <w:rFonts w:cstheme="minorBidi"/>
                <w:noProof/>
                <w:lang w:val="en-GB" w:eastAsia="en-GB"/>
              </w:rPr>
              <w:tab/>
            </w:r>
            <w:r w:rsidR="00654907" w:rsidRPr="00212917">
              <w:rPr>
                <w:rStyle w:val="Hyperlink"/>
                <w:noProof/>
              </w:rPr>
              <w:t>What should I do when I receive a SAR?</w:t>
            </w:r>
            <w:r w:rsidR="00654907">
              <w:rPr>
                <w:noProof/>
                <w:webHidden/>
              </w:rPr>
              <w:tab/>
            </w:r>
            <w:r w:rsidR="00654907">
              <w:rPr>
                <w:noProof/>
                <w:webHidden/>
              </w:rPr>
              <w:fldChar w:fldCharType="begin"/>
            </w:r>
            <w:r w:rsidR="00654907">
              <w:rPr>
                <w:noProof/>
                <w:webHidden/>
              </w:rPr>
              <w:instrText xml:space="preserve"> PAGEREF _Toc514145334 \h </w:instrText>
            </w:r>
            <w:r w:rsidR="00654907">
              <w:rPr>
                <w:noProof/>
                <w:webHidden/>
              </w:rPr>
            </w:r>
            <w:r w:rsidR="00654907">
              <w:rPr>
                <w:noProof/>
                <w:webHidden/>
              </w:rPr>
              <w:fldChar w:fldCharType="separate"/>
            </w:r>
            <w:r w:rsidR="00755934">
              <w:rPr>
                <w:noProof/>
                <w:webHidden/>
              </w:rPr>
              <w:t>4</w:t>
            </w:r>
            <w:r w:rsidR="00654907">
              <w:rPr>
                <w:noProof/>
                <w:webHidden/>
              </w:rPr>
              <w:fldChar w:fldCharType="end"/>
            </w:r>
          </w:hyperlink>
        </w:p>
        <w:p w:rsidR="00654907" w:rsidRDefault="0071450D">
          <w:pPr>
            <w:pStyle w:val="TOC1"/>
            <w:tabs>
              <w:tab w:val="left" w:pos="440"/>
              <w:tab w:val="right" w:leader="dot" w:pos="10528"/>
            </w:tabs>
            <w:rPr>
              <w:rFonts w:cstheme="minorBidi"/>
              <w:noProof/>
              <w:lang w:val="en-GB" w:eastAsia="en-GB"/>
            </w:rPr>
          </w:pPr>
          <w:hyperlink w:anchor="_Toc514145335" w:history="1">
            <w:r w:rsidR="00654907" w:rsidRPr="00212917">
              <w:rPr>
                <w:rStyle w:val="Hyperlink"/>
                <w:noProof/>
                <w:lang w:eastAsia="ja-JP"/>
              </w:rPr>
              <w:t>5.</w:t>
            </w:r>
            <w:r w:rsidR="00654907">
              <w:rPr>
                <w:rFonts w:cstheme="minorBidi"/>
                <w:noProof/>
                <w:lang w:val="en-GB" w:eastAsia="en-GB"/>
              </w:rPr>
              <w:tab/>
            </w:r>
            <w:r w:rsidR="00654907" w:rsidRPr="00212917">
              <w:rPr>
                <w:rStyle w:val="Hyperlink"/>
                <w:noProof/>
                <w:lang w:eastAsia="ja-JP"/>
              </w:rPr>
              <w:t>What should I do when I am allocated a SAR by the Business Manager?</w:t>
            </w:r>
            <w:r w:rsidR="00654907">
              <w:rPr>
                <w:noProof/>
                <w:webHidden/>
              </w:rPr>
              <w:tab/>
            </w:r>
            <w:r w:rsidR="00654907">
              <w:rPr>
                <w:noProof/>
                <w:webHidden/>
              </w:rPr>
              <w:fldChar w:fldCharType="begin"/>
            </w:r>
            <w:r w:rsidR="00654907">
              <w:rPr>
                <w:noProof/>
                <w:webHidden/>
              </w:rPr>
              <w:instrText xml:space="preserve"> PAGEREF _Toc514145335 \h </w:instrText>
            </w:r>
            <w:r w:rsidR="00654907">
              <w:rPr>
                <w:noProof/>
                <w:webHidden/>
              </w:rPr>
            </w:r>
            <w:r w:rsidR="00654907">
              <w:rPr>
                <w:noProof/>
                <w:webHidden/>
              </w:rPr>
              <w:fldChar w:fldCharType="separate"/>
            </w:r>
            <w:r w:rsidR="00755934">
              <w:rPr>
                <w:noProof/>
                <w:webHidden/>
              </w:rPr>
              <w:t>5</w:t>
            </w:r>
            <w:r w:rsidR="00654907">
              <w:rPr>
                <w:noProof/>
                <w:webHidden/>
              </w:rPr>
              <w:fldChar w:fldCharType="end"/>
            </w:r>
          </w:hyperlink>
        </w:p>
        <w:p w:rsidR="00654907" w:rsidRDefault="0071450D">
          <w:pPr>
            <w:pStyle w:val="TOC1"/>
            <w:tabs>
              <w:tab w:val="left" w:pos="440"/>
              <w:tab w:val="right" w:leader="dot" w:pos="10528"/>
            </w:tabs>
            <w:rPr>
              <w:rFonts w:cstheme="minorBidi"/>
              <w:noProof/>
              <w:lang w:val="en-GB" w:eastAsia="en-GB"/>
            </w:rPr>
          </w:pPr>
          <w:hyperlink w:anchor="_Toc514145336" w:history="1">
            <w:r w:rsidR="00654907" w:rsidRPr="00212917">
              <w:rPr>
                <w:rStyle w:val="Hyperlink"/>
                <w:noProof/>
              </w:rPr>
              <w:t>6.</w:t>
            </w:r>
            <w:r w:rsidR="00654907">
              <w:rPr>
                <w:rFonts w:cstheme="minorBidi"/>
                <w:noProof/>
                <w:lang w:val="en-GB" w:eastAsia="en-GB"/>
              </w:rPr>
              <w:tab/>
            </w:r>
            <w:r w:rsidR="00654907" w:rsidRPr="00212917">
              <w:rPr>
                <w:rStyle w:val="Hyperlink"/>
                <w:noProof/>
              </w:rPr>
              <w:t>What information is exempt from disclosure and needs to be removed?</w:t>
            </w:r>
            <w:r w:rsidR="00654907">
              <w:rPr>
                <w:noProof/>
                <w:webHidden/>
              </w:rPr>
              <w:tab/>
            </w:r>
            <w:r w:rsidR="00654907">
              <w:rPr>
                <w:noProof/>
                <w:webHidden/>
              </w:rPr>
              <w:fldChar w:fldCharType="begin"/>
            </w:r>
            <w:r w:rsidR="00654907">
              <w:rPr>
                <w:noProof/>
                <w:webHidden/>
              </w:rPr>
              <w:instrText xml:space="preserve"> PAGEREF _Toc514145336 \h </w:instrText>
            </w:r>
            <w:r w:rsidR="00654907">
              <w:rPr>
                <w:noProof/>
                <w:webHidden/>
              </w:rPr>
            </w:r>
            <w:r w:rsidR="00654907">
              <w:rPr>
                <w:noProof/>
                <w:webHidden/>
              </w:rPr>
              <w:fldChar w:fldCharType="separate"/>
            </w:r>
            <w:r w:rsidR="00755934">
              <w:rPr>
                <w:noProof/>
                <w:webHidden/>
              </w:rPr>
              <w:t>6</w:t>
            </w:r>
            <w:r w:rsidR="00654907">
              <w:rPr>
                <w:noProof/>
                <w:webHidden/>
              </w:rPr>
              <w:fldChar w:fldCharType="end"/>
            </w:r>
          </w:hyperlink>
        </w:p>
        <w:p w:rsidR="00654907" w:rsidRDefault="0071450D">
          <w:pPr>
            <w:pStyle w:val="TOC1"/>
            <w:tabs>
              <w:tab w:val="left" w:pos="440"/>
              <w:tab w:val="right" w:leader="dot" w:pos="10528"/>
            </w:tabs>
            <w:rPr>
              <w:rFonts w:cstheme="minorBidi"/>
              <w:noProof/>
              <w:lang w:val="en-GB" w:eastAsia="en-GB"/>
            </w:rPr>
          </w:pPr>
          <w:hyperlink w:anchor="_Toc514145337" w:history="1">
            <w:r w:rsidR="00654907" w:rsidRPr="00212917">
              <w:rPr>
                <w:rStyle w:val="Hyperlink"/>
                <w:noProof/>
              </w:rPr>
              <w:t>7.</w:t>
            </w:r>
            <w:r w:rsidR="00654907">
              <w:rPr>
                <w:rFonts w:cstheme="minorBidi"/>
                <w:noProof/>
                <w:lang w:val="en-GB" w:eastAsia="en-GB"/>
              </w:rPr>
              <w:tab/>
            </w:r>
            <w:r w:rsidR="00654907" w:rsidRPr="00212917">
              <w:rPr>
                <w:rStyle w:val="Hyperlink"/>
                <w:noProof/>
              </w:rPr>
              <w:t>How do I complete redactions?</w:t>
            </w:r>
            <w:r w:rsidR="00654907">
              <w:rPr>
                <w:noProof/>
                <w:webHidden/>
              </w:rPr>
              <w:tab/>
            </w:r>
            <w:r w:rsidR="00654907">
              <w:rPr>
                <w:noProof/>
                <w:webHidden/>
              </w:rPr>
              <w:fldChar w:fldCharType="begin"/>
            </w:r>
            <w:r w:rsidR="00654907">
              <w:rPr>
                <w:noProof/>
                <w:webHidden/>
              </w:rPr>
              <w:instrText xml:space="preserve"> PAGEREF _Toc514145337 \h </w:instrText>
            </w:r>
            <w:r w:rsidR="00654907">
              <w:rPr>
                <w:noProof/>
                <w:webHidden/>
              </w:rPr>
            </w:r>
            <w:r w:rsidR="00654907">
              <w:rPr>
                <w:noProof/>
                <w:webHidden/>
              </w:rPr>
              <w:fldChar w:fldCharType="separate"/>
            </w:r>
            <w:r w:rsidR="00755934">
              <w:rPr>
                <w:noProof/>
                <w:webHidden/>
              </w:rPr>
              <w:t>8</w:t>
            </w:r>
            <w:r w:rsidR="00654907">
              <w:rPr>
                <w:noProof/>
                <w:webHidden/>
              </w:rPr>
              <w:fldChar w:fldCharType="end"/>
            </w:r>
          </w:hyperlink>
        </w:p>
        <w:p w:rsidR="00654907" w:rsidRDefault="0071450D">
          <w:pPr>
            <w:pStyle w:val="TOC1"/>
            <w:tabs>
              <w:tab w:val="left" w:pos="440"/>
              <w:tab w:val="right" w:leader="dot" w:pos="10528"/>
            </w:tabs>
            <w:rPr>
              <w:rFonts w:cstheme="minorBidi"/>
              <w:noProof/>
              <w:lang w:val="en-GB" w:eastAsia="en-GB"/>
            </w:rPr>
          </w:pPr>
          <w:hyperlink w:anchor="_Toc514145338" w:history="1">
            <w:r w:rsidR="00654907" w:rsidRPr="00212917">
              <w:rPr>
                <w:rStyle w:val="Hyperlink"/>
                <w:noProof/>
              </w:rPr>
              <w:t>8.</w:t>
            </w:r>
            <w:r w:rsidR="00654907">
              <w:rPr>
                <w:rFonts w:cstheme="minorBidi"/>
                <w:noProof/>
                <w:lang w:val="en-GB" w:eastAsia="en-GB"/>
              </w:rPr>
              <w:tab/>
            </w:r>
            <w:r w:rsidR="00654907" w:rsidRPr="00212917">
              <w:rPr>
                <w:rStyle w:val="Hyperlink"/>
                <w:noProof/>
              </w:rPr>
              <w:t>What is a double check?</w:t>
            </w:r>
            <w:r w:rsidR="00654907">
              <w:rPr>
                <w:noProof/>
                <w:webHidden/>
              </w:rPr>
              <w:tab/>
            </w:r>
            <w:r w:rsidR="00654907">
              <w:rPr>
                <w:noProof/>
                <w:webHidden/>
              </w:rPr>
              <w:fldChar w:fldCharType="begin"/>
            </w:r>
            <w:r w:rsidR="00654907">
              <w:rPr>
                <w:noProof/>
                <w:webHidden/>
              </w:rPr>
              <w:instrText xml:space="preserve"> PAGEREF _Toc514145338 \h </w:instrText>
            </w:r>
            <w:r w:rsidR="00654907">
              <w:rPr>
                <w:noProof/>
                <w:webHidden/>
              </w:rPr>
            </w:r>
            <w:r w:rsidR="00654907">
              <w:rPr>
                <w:noProof/>
                <w:webHidden/>
              </w:rPr>
              <w:fldChar w:fldCharType="separate"/>
            </w:r>
            <w:r w:rsidR="00755934">
              <w:rPr>
                <w:noProof/>
                <w:webHidden/>
              </w:rPr>
              <w:t>9</w:t>
            </w:r>
            <w:r w:rsidR="00654907">
              <w:rPr>
                <w:noProof/>
                <w:webHidden/>
              </w:rPr>
              <w:fldChar w:fldCharType="end"/>
            </w:r>
          </w:hyperlink>
        </w:p>
        <w:p w:rsidR="00654907" w:rsidRDefault="0071450D">
          <w:pPr>
            <w:pStyle w:val="TOC1"/>
            <w:tabs>
              <w:tab w:val="left" w:pos="440"/>
              <w:tab w:val="right" w:leader="dot" w:pos="10528"/>
            </w:tabs>
            <w:rPr>
              <w:rFonts w:cstheme="minorBidi"/>
              <w:noProof/>
              <w:lang w:val="en-GB" w:eastAsia="en-GB"/>
            </w:rPr>
          </w:pPr>
          <w:hyperlink w:anchor="_Toc514145339" w:history="1">
            <w:r w:rsidR="00654907" w:rsidRPr="00212917">
              <w:rPr>
                <w:rStyle w:val="Hyperlink"/>
                <w:noProof/>
              </w:rPr>
              <w:t>9.</w:t>
            </w:r>
            <w:r w:rsidR="00654907">
              <w:rPr>
                <w:rFonts w:cstheme="minorBidi"/>
                <w:noProof/>
                <w:lang w:val="en-GB" w:eastAsia="en-GB"/>
              </w:rPr>
              <w:tab/>
            </w:r>
            <w:r w:rsidR="00654907" w:rsidRPr="00212917">
              <w:rPr>
                <w:rStyle w:val="Hyperlink"/>
                <w:noProof/>
              </w:rPr>
              <w:t>How do I respond to a SAR?</w:t>
            </w:r>
            <w:r w:rsidR="00654907">
              <w:rPr>
                <w:noProof/>
                <w:webHidden/>
              </w:rPr>
              <w:tab/>
            </w:r>
            <w:r w:rsidR="00654907">
              <w:rPr>
                <w:noProof/>
                <w:webHidden/>
              </w:rPr>
              <w:fldChar w:fldCharType="begin"/>
            </w:r>
            <w:r w:rsidR="00654907">
              <w:rPr>
                <w:noProof/>
                <w:webHidden/>
              </w:rPr>
              <w:instrText xml:space="preserve"> PAGEREF _Toc514145339 \h </w:instrText>
            </w:r>
            <w:r w:rsidR="00654907">
              <w:rPr>
                <w:noProof/>
                <w:webHidden/>
              </w:rPr>
            </w:r>
            <w:r w:rsidR="00654907">
              <w:rPr>
                <w:noProof/>
                <w:webHidden/>
              </w:rPr>
              <w:fldChar w:fldCharType="separate"/>
            </w:r>
            <w:r w:rsidR="00755934">
              <w:rPr>
                <w:noProof/>
                <w:webHidden/>
              </w:rPr>
              <w:t>9</w:t>
            </w:r>
            <w:r w:rsidR="00654907">
              <w:rPr>
                <w:noProof/>
                <w:webHidden/>
              </w:rPr>
              <w:fldChar w:fldCharType="end"/>
            </w:r>
          </w:hyperlink>
        </w:p>
        <w:p w:rsidR="00654907" w:rsidRDefault="0071450D">
          <w:pPr>
            <w:pStyle w:val="TOC1"/>
            <w:tabs>
              <w:tab w:val="left" w:pos="660"/>
              <w:tab w:val="right" w:leader="dot" w:pos="10528"/>
            </w:tabs>
            <w:rPr>
              <w:rFonts w:cstheme="minorBidi"/>
              <w:noProof/>
              <w:lang w:val="en-GB" w:eastAsia="en-GB"/>
            </w:rPr>
          </w:pPr>
          <w:hyperlink w:anchor="_Toc514145340" w:history="1">
            <w:r w:rsidR="00654907" w:rsidRPr="00212917">
              <w:rPr>
                <w:rStyle w:val="Hyperlink"/>
                <w:noProof/>
              </w:rPr>
              <w:t>10.</w:t>
            </w:r>
            <w:r w:rsidR="00654907">
              <w:rPr>
                <w:rFonts w:cstheme="minorBidi"/>
                <w:noProof/>
                <w:lang w:val="en-GB" w:eastAsia="en-GB"/>
              </w:rPr>
              <w:tab/>
            </w:r>
            <w:r w:rsidR="00654907" w:rsidRPr="00212917">
              <w:rPr>
                <w:rStyle w:val="Hyperlink"/>
                <w:noProof/>
              </w:rPr>
              <w:t>Complaints</w:t>
            </w:r>
            <w:r w:rsidR="00654907">
              <w:rPr>
                <w:noProof/>
                <w:webHidden/>
              </w:rPr>
              <w:tab/>
            </w:r>
            <w:r w:rsidR="00654907">
              <w:rPr>
                <w:noProof/>
                <w:webHidden/>
              </w:rPr>
              <w:fldChar w:fldCharType="begin"/>
            </w:r>
            <w:r w:rsidR="00654907">
              <w:rPr>
                <w:noProof/>
                <w:webHidden/>
              </w:rPr>
              <w:instrText xml:space="preserve"> PAGEREF _Toc514145340 \h </w:instrText>
            </w:r>
            <w:r w:rsidR="00654907">
              <w:rPr>
                <w:noProof/>
                <w:webHidden/>
              </w:rPr>
            </w:r>
            <w:r w:rsidR="00654907">
              <w:rPr>
                <w:noProof/>
                <w:webHidden/>
              </w:rPr>
              <w:fldChar w:fldCharType="separate"/>
            </w:r>
            <w:r w:rsidR="00755934">
              <w:rPr>
                <w:noProof/>
                <w:webHidden/>
              </w:rPr>
              <w:t>10</w:t>
            </w:r>
            <w:r w:rsidR="00654907">
              <w:rPr>
                <w:noProof/>
                <w:webHidden/>
              </w:rPr>
              <w:fldChar w:fldCharType="end"/>
            </w:r>
          </w:hyperlink>
        </w:p>
        <w:p w:rsidR="00654907" w:rsidRDefault="0071450D">
          <w:pPr>
            <w:pStyle w:val="TOC1"/>
            <w:tabs>
              <w:tab w:val="left" w:pos="660"/>
              <w:tab w:val="right" w:leader="dot" w:pos="10528"/>
            </w:tabs>
            <w:rPr>
              <w:rFonts w:cstheme="minorBidi"/>
              <w:noProof/>
              <w:lang w:val="en-GB" w:eastAsia="en-GB"/>
            </w:rPr>
          </w:pPr>
          <w:hyperlink w:anchor="_Toc514145341" w:history="1">
            <w:r w:rsidR="00654907" w:rsidRPr="00212917">
              <w:rPr>
                <w:rStyle w:val="Hyperlink"/>
                <w:noProof/>
              </w:rPr>
              <w:t>11.</w:t>
            </w:r>
            <w:r w:rsidR="00654907">
              <w:rPr>
                <w:rFonts w:cstheme="minorBidi"/>
                <w:noProof/>
                <w:lang w:val="en-GB" w:eastAsia="en-GB"/>
              </w:rPr>
              <w:tab/>
            </w:r>
            <w:r w:rsidR="00654907" w:rsidRPr="00212917">
              <w:rPr>
                <w:rStyle w:val="Hyperlink"/>
                <w:noProof/>
              </w:rPr>
              <w:t>Further information</w:t>
            </w:r>
            <w:r w:rsidR="00654907">
              <w:rPr>
                <w:noProof/>
                <w:webHidden/>
              </w:rPr>
              <w:tab/>
            </w:r>
            <w:r w:rsidR="00654907">
              <w:rPr>
                <w:noProof/>
                <w:webHidden/>
              </w:rPr>
              <w:fldChar w:fldCharType="begin"/>
            </w:r>
            <w:r w:rsidR="00654907">
              <w:rPr>
                <w:noProof/>
                <w:webHidden/>
              </w:rPr>
              <w:instrText xml:space="preserve"> PAGEREF _Toc514145341 \h </w:instrText>
            </w:r>
            <w:r w:rsidR="00654907">
              <w:rPr>
                <w:noProof/>
                <w:webHidden/>
              </w:rPr>
            </w:r>
            <w:r w:rsidR="00654907">
              <w:rPr>
                <w:noProof/>
                <w:webHidden/>
              </w:rPr>
              <w:fldChar w:fldCharType="separate"/>
            </w:r>
            <w:r w:rsidR="00755934">
              <w:rPr>
                <w:noProof/>
                <w:webHidden/>
              </w:rPr>
              <w:t>10</w:t>
            </w:r>
            <w:r w:rsidR="00654907">
              <w:rPr>
                <w:noProof/>
                <w:webHidden/>
              </w:rPr>
              <w:fldChar w:fldCharType="end"/>
            </w:r>
          </w:hyperlink>
        </w:p>
        <w:p w:rsidR="00654907" w:rsidRDefault="00654907">
          <w:r>
            <w:rPr>
              <w:b/>
              <w:bCs/>
              <w:noProof/>
            </w:rPr>
            <w:fldChar w:fldCharType="end"/>
          </w:r>
        </w:p>
      </w:sdtContent>
    </w:sdt>
    <w:p w:rsidR="004A2D7F" w:rsidRDefault="004A2D7F">
      <w:pPr>
        <w:rPr>
          <w:rFonts w:ascii="Calibri" w:hAnsi="Calibri" w:cs="Calibri"/>
        </w:rPr>
      </w:pPr>
      <w:r>
        <w:rPr>
          <w:rFonts w:ascii="Calibri" w:hAnsi="Calibri" w:cs="Calibri"/>
        </w:rPr>
        <w:br w:type="page"/>
      </w:r>
    </w:p>
    <w:p w:rsidR="00F7323A" w:rsidRPr="00A0338B" w:rsidRDefault="00F7323A" w:rsidP="00F7323A">
      <w:pPr>
        <w:pStyle w:val="Hding"/>
      </w:pPr>
      <w:bookmarkStart w:id="0" w:name="_Toc507921561"/>
      <w:bookmarkStart w:id="1" w:name="_Toc514145331"/>
      <w:r w:rsidRPr="00A0338B">
        <w:lastRenderedPageBreak/>
        <w:t>Introduction and purpose</w:t>
      </w:r>
      <w:bookmarkEnd w:id="0"/>
      <w:bookmarkEnd w:id="1"/>
    </w:p>
    <w:p w:rsidR="00F7323A" w:rsidRPr="006E4FF4" w:rsidRDefault="00F7323A" w:rsidP="00F7323A">
      <w:pPr>
        <w:rPr>
          <w:rFonts w:cs="Arial"/>
          <w:szCs w:val="22"/>
        </w:rPr>
      </w:pPr>
      <w:r w:rsidRPr="006E4FF4">
        <w:rPr>
          <w:rFonts w:cs="Arial"/>
          <w:szCs w:val="22"/>
        </w:rPr>
        <w:t>The Data Protection Act 2018 gives individuals rights of access to their personal records held by schools.</w:t>
      </w:r>
    </w:p>
    <w:p w:rsidR="00F7323A" w:rsidRPr="006E4FF4" w:rsidRDefault="00F7323A" w:rsidP="00F7323A">
      <w:pPr>
        <w:rPr>
          <w:rFonts w:cs="Arial"/>
          <w:szCs w:val="22"/>
        </w:rPr>
      </w:pPr>
      <w:r w:rsidRPr="006E4FF4">
        <w:rPr>
          <w:rFonts w:cs="Arial"/>
          <w:szCs w:val="22"/>
        </w:rPr>
        <w:t>This guidance aims to help employees deal with Subject Access Requests (SARs) in compliance with school policy.</w:t>
      </w:r>
    </w:p>
    <w:p w:rsidR="00F7323A" w:rsidRPr="006E4FF4" w:rsidRDefault="00F7323A" w:rsidP="00F7323A">
      <w:pPr>
        <w:rPr>
          <w:rFonts w:cs="Arial"/>
          <w:szCs w:val="22"/>
        </w:rPr>
      </w:pPr>
      <w:r w:rsidRPr="006E4FF4">
        <w:rPr>
          <w:rFonts w:cs="Arial"/>
          <w:szCs w:val="22"/>
        </w:rPr>
        <w:t xml:space="preserve">This document </w:t>
      </w:r>
      <w:proofErr w:type="gramStart"/>
      <w:r w:rsidRPr="006E4FF4">
        <w:rPr>
          <w:rFonts w:cs="Arial"/>
          <w:szCs w:val="22"/>
        </w:rPr>
        <w:t>should be read</w:t>
      </w:r>
      <w:proofErr w:type="gramEnd"/>
      <w:r w:rsidRPr="006E4FF4">
        <w:rPr>
          <w:rFonts w:cs="Arial"/>
          <w:szCs w:val="22"/>
        </w:rPr>
        <w:t xml:space="preserve"> in conjunction with the Subject Access Request Policy </w:t>
      </w:r>
    </w:p>
    <w:p w:rsidR="00F7323A" w:rsidRPr="00A0338B" w:rsidRDefault="00F7323A" w:rsidP="00F7323A">
      <w:pPr>
        <w:pStyle w:val="Hding"/>
      </w:pPr>
      <w:bookmarkStart w:id="2" w:name="_Toc507921562"/>
      <w:bookmarkStart w:id="3" w:name="_Toc514145332"/>
      <w:r w:rsidRPr="00A0338B">
        <w:t>How long do I have to complete a SAR</w:t>
      </w:r>
      <w:bookmarkEnd w:id="2"/>
      <w:bookmarkEnd w:id="3"/>
    </w:p>
    <w:p w:rsidR="00F7323A" w:rsidRPr="006E4FF4" w:rsidRDefault="00F7323A" w:rsidP="00F7323A">
      <w:pPr>
        <w:rPr>
          <w:rFonts w:cs="Arial"/>
          <w:szCs w:val="22"/>
        </w:rPr>
      </w:pPr>
      <w:r w:rsidRPr="006E4FF4">
        <w:rPr>
          <w:rFonts w:cs="Arial"/>
          <w:szCs w:val="22"/>
        </w:rPr>
        <w:t xml:space="preserve">The school has a maximum of a month starting from the day the request and identification (if required) </w:t>
      </w:r>
      <w:proofErr w:type="gramStart"/>
      <w:r w:rsidRPr="006E4FF4">
        <w:rPr>
          <w:rFonts w:cs="Arial"/>
          <w:szCs w:val="22"/>
        </w:rPr>
        <w:t>is received</w:t>
      </w:r>
      <w:proofErr w:type="gramEnd"/>
      <w:r w:rsidRPr="006E4FF4">
        <w:rPr>
          <w:rFonts w:cs="Arial"/>
          <w:szCs w:val="22"/>
        </w:rPr>
        <w:t xml:space="preserve">. This is a statutory </w:t>
      </w:r>
      <w:proofErr w:type="gramStart"/>
      <w:r w:rsidRPr="006E4FF4">
        <w:rPr>
          <w:rFonts w:cs="Arial"/>
          <w:szCs w:val="22"/>
        </w:rPr>
        <w:t>requirement which</w:t>
      </w:r>
      <w:proofErr w:type="gramEnd"/>
      <w:r w:rsidRPr="006E4FF4">
        <w:rPr>
          <w:rFonts w:cs="Arial"/>
          <w:szCs w:val="22"/>
        </w:rPr>
        <w:t xml:space="preserve"> must be adhered to. As there is no definition of a month, the school is adopting 20 working days, to ensure consistency.</w:t>
      </w:r>
    </w:p>
    <w:p w:rsidR="00F7323A" w:rsidRPr="006E4FF4" w:rsidRDefault="00F7323A" w:rsidP="00F7323A">
      <w:pPr>
        <w:rPr>
          <w:rFonts w:cs="Arial"/>
          <w:szCs w:val="22"/>
        </w:rPr>
      </w:pPr>
      <w:r w:rsidRPr="006E4FF4">
        <w:rPr>
          <w:rFonts w:cs="Arial"/>
          <w:szCs w:val="22"/>
        </w:rPr>
        <w:t xml:space="preserve">You will be able to extend the period of compliance by a further two months where requests are complex or numerous. If this is the case, you must inform the individual within one month of the receipt of the request and explain why the extension is necessary. You should contact the SAR owner as soon as possible if an extension is required. Extensions </w:t>
      </w:r>
      <w:proofErr w:type="gramStart"/>
      <w:r w:rsidRPr="006E4FF4">
        <w:rPr>
          <w:rFonts w:cs="Arial"/>
          <w:szCs w:val="22"/>
        </w:rPr>
        <w:t>will only be granted</w:t>
      </w:r>
      <w:proofErr w:type="gramEnd"/>
      <w:r w:rsidRPr="006E4FF4">
        <w:rPr>
          <w:rFonts w:cs="Arial"/>
          <w:szCs w:val="22"/>
        </w:rPr>
        <w:t xml:space="preserve"> in exceptional circumstances.</w:t>
      </w:r>
    </w:p>
    <w:p w:rsidR="00F7323A" w:rsidRPr="006E4FF4" w:rsidRDefault="00F7323A" w:rsidP="00F7323A">
      <w:pPr>
        <w:spacing w:before="0" w:after="0"/>
        <w:rPr>
          <w:rFonts w:cs="Arial"/>
          <w:szCs w:val="22"/>
        </w:rPr>
      </w:pPr>
      <w:r w:rsidRPr="006E4FF4">
        <w:rPr>
          <w:rFonts w:cs="Arial"/>
          <w:szCs w:val="22"/>
        </w:rPr>
        <w:t xml:space="preserve">In any </w:t>
      </w:r>
      <w:r w:rsidR="00DE0178" w:rsidRPr="006E4FF4">
        <w:rPr>
          <w:rFonts w:cs="Arial"/>
          <w:szCs w:val="22"/>
        </w:rPr>
        <w:t>event,</w:t>
      </w:r>
      <w:r w:rsidRPr="006E4FF4">
        <w:rPr>
          <w:rFonts w:cs="Arial"/>
          <w:szCs w:val="22"/>
        </w:rPr>
        <w:t xml:space="preserve"> the request </w:t>
      </w:r>
      <w:proofErr w:type="gramStart"/>
      <w:r w:rsidRPr="006E4FF4">
        <w:rPr>
          <w:rFonts w:cs="Arial"/>
          <w:szCs w:val="22"/>
        </w:rPr>
        <w:t>should be responded</w:t>
      </w:r>
      <w:proofErr w:type="gramEnd"/>
      <w:r w:rsidRPr="006E4FF4">
        <w:rPr>
          <w:rFonts w:cs="Arial"/>
          <w:szCs w:val="22"/>
        </w:rPr>
        <w:t xml:space="preserve"> to as quickly as possible. The deadline is a maximum and any deliberate or unjustified delay to hold back a response until nearer the deadline expiry is not acceptable. </w:t>
      </w:r>
    </w:p>
    <w:p w:rsidR="00F7323A" w:rsidRPr="006E4FF4" w:rsidRDefault="00F7323A" w:rsidP="00F7323A">
      <w:pPr>
        <w:spacing w:before="0" w:after="0"/>
        <w:rPr>
          <w:rFonts w:cs="Arial"/>
          <w:szCs w:val="22"/>
        </w:rPr>
      </w:pPr>
    </w:p>
    <w:p w:rsidR="00F7323A" w:rsidRDefault="00F7323A" w:rsidP="00F7323A">
      <w:pPr>
        <w:spacing w:before="0" w:after="0"/>
        <w:rPr>
          <w:rFonts w:cs="Arial"/>
          <w:szCs w:val="22"/>
        </w:rPr>
      </w:pPr>
      <w:r w:rsidRPr="006E4FF4">
        <w:rPr>
          <w:rFonts w:cs="Arial"/>
          <w:szCs w:val="22"/>
        </w:rPr>
        <w:t xml:space="preserve">For </w:t>
      </w:r>
      <w:r w:rsidR="00DE0178" w:rsidRPr="006E4FF4">
        <w:rPr>
          <w:rFonts w:cs="Arial"/>
          <w:szCs w:val="22"/>
        </w:rPr>
        <w:t>example,</w:t>
      </w:r>
      <w:r w:rsidRPr="006E4FF4">
        <w:rPr>
          <w:rFonts w:cs="Arial"/>
          <w:szCs w:val="22"/>
        </w:rPr>
        <w:t xml:space="preserve"> data such as CCTV footage is subject to “automatic / routine” deletion, which means that after 28 days the data </w:t>
      </w:r>
      <w:proofErr w:type="gramStart"/>
      <w:r w:rsidRPr="006E4FF4">
        <w:rPr>
          <w:rFonts w:cs="Arial"/>
          <w:szCs w:val="22"/>
        </w:rPr>
        <w:t>is automatically wiped</w:t>
      </w:r>
      <w:proofErr w:type="gramEnd"/>
      <w:r w:rsidRPr="006E4FF4">
        <w:rPr>
          <w:rFonts w:cs="Arial"/>
          <w:szCs w:val="22"/>
        </w:rPr>
        <w:t xml:space="preserve">. If a request </w:t>
      </w:r>
      <w:proofErr w:type="gramStart"/>
      <w:r w:rsidRPr="006E4FF4">
        <w:rPr>
          <w:rFonts w:cs="Arial"/>
          <w:szCs w:val="22"/>
        </w:rPr>
        <w:t>is received</w:t>
      </w:r>
      <w:proofErr w:type="gramEnd"/>
      <w:r w:rsidRPr="006E4FF4">
        <w:rPr>
          <w:rFonts w:cs="Arial"/>
          <w:szCs w:val="22"/>
        </w:rPr>
        <w:t xml:space="preserve"> for data that is subject to automatic deletion such as this, you must not delay the request until after the deletion date, but instead consider responding within the 20 days in a timely manner</w:t>
      </w:r>
      <w:r w:rsidR="00DE0178">
        <w:rPr>
          <w:rFonts w:cs="Arial"/>
          <w:szCs w:val="22"/>
        </w:rPr>
        <w:t>. Wh</w:t>
      </w:r>
      <w:r w:rsidRPr="006E4FF4">
        <w:rPr>
          <w:rFonts w:cs="Arial"/>
          <w:szCs w:val="22"/>
        </w:rPr>
        <w:t xml:space="preserve">ere this is not possible due to other </w:t>
      </w:r>
      <w:r w:rsidR="00DE0178" w:rsidRPr="006E4FF4">
        <w:rPr>
          <w:rFonts w:cs="Arial"/>
          <w:szCs w:val="22"/>
        </w:rPr>
        <w:t>priorities,</w:t>
      </w:r>
      <w:r w:rsidRPr="006E4FF4">
        <w:rPr>
          <w:rFonts w:cs="Arial"/>
          <w:szCs w:val="22"/>
        </w:rPr>
        <w:t xml:space="preserve"> you should mark the footage for non-deletion to allow the request to </w:t>
      </w:r>
      <w:proofErr w:type="gramStart"/>
      <w:r w:rsidRPr="006E4FF4">
        <w:rPr>
          <w:rFonts w:cs="Arial"/>
          <w:szCs w:val="22"/>
        </w:rPr>
        <w:t>be fulfilled</w:t>
      </w:r>
      <w:proofErr w:type="gramEnd"/>
      <w:r w:rsidRPr="006E4FF4">
        <w:rPr>
          <w:rFonts w:cs="Arial"/>
          <w:szCs w:val="22"/>
        </w:rPr>
        <w:t xml:space="preserve"> after the deletion date but still within the 20 days.</w:t>
      </w:r>
    </w:p>
    <w:p w:rsidR="00654907" w:rsidRPr="006E4FF4" w:rsidRDefault="00654907" w:rsidP="00F7323A">
      <w:pPr>
        <w:spacing w:before="0" w:after="0"/>
        <w:rPr>
          <w:rFonts w:cs="Arial"/>
          <w:szCs w:val="22"/>
        </w:rPr>
      </w:pPr>
    </w:p>
    <w:p w:rsidR="00F7323A" w:rsidRPr="00A0338B" w:rsidRDefault="00F7323A" w:rsidP="00F7323A">
      <w:pPr>
        <w:pStyle w:val="Hding"/>
      </w:pPr>
      <w:bookmarkStart w:id="4" w:name="_Toc507921563"/>
      <w:bookmarkStart w:id="5" w:name="_Toc514145333"/>
      <w:r w:rsidRPr="00A0338B">
        <w:t>Who can submit a SAR</w:t>
      </w:r>
      <w:bookmarkEnd w:id="4"/>
      <w:bookmarkEnd w:id="5"/>
    </w:p>
    <w:p w:rsidR="00F7323A" w:rsidRPr="006E4FF4" w:rsidRDefault="00F7323A" w:rsidP="00F7323A">
      <w:pPr>
        <w:rPr>
          <w:rFonts w:cs="Arial"/>
          <w:szCs w:val="22"/>
        </w:rPr>
      </w:pPr>
      <w:proofErr w:type="gramStart"/>
      <w:r w:rsidRPr="006E4FF4">
        <w:rPr>
          <w:rFonts w:cs="Arial"/>
          <w:szCs w:val="22"/>
        </w:rPr>
        <w:t>An application for a Subject Access Request must be made by either of the following</w:t>
      </w:r>
      <w:proofErr w:type="gramEnd"/>
      <w:r w:rsidRPr="006E4FF4">
        <w:rPr>
          <w:rFonts w:cs="Arial"/>
          <w:szCs w:val="22"/>
        </w:rPr>
        <w:t>:</w:t>
      </w:r>
    </w:p>
    <w:p w:rsidR="00F7323A" w:rsidRPr="00BF0C54" w:rsidRDefault="00F7323A" w:rsidP="00BF0C54">
      <w:pPr>
        <w:pStyle w:val="11Numberinglevel2"/>
        <w:numPr>
          <w:ilvl w:val="1"/>
          <w:numId w:val="25"/>
        </w:numPr>
      </w:pPr>
      <w:bookmarkStart w:id="6" w:name="_Toc507921564"/>
      <w:r w:rsidRPr="00BF0C54">
        <w:t>The Data Subject</w:t>
      </w:r>
      <w:bookmarkEnd w:id="6"/>
    </w:p>
    <w:p w:rsidR="00DE0178" w:rsidRPr="00DE0178" w:rsidRDefault="00F7323A" w:rsidP="00CE77E9">
      <w:pPr>
        <w:shd w:val="clear" w:color="auto" w:fill="FFFFFF"/>
        <w:rPr>
          <w:rFonts w:ascii="Arial" w:eastAsia="Times New Roman" w:hAnsi="Arial" w:cs="Arial"/>
          <w:color w:val="000000"/>
          <w:sz w:val="18"/>
          <w:szCs w:val="18"/>
        </w:rPr>
      </w:pPr>
      <w:r w:rsidRPr="006E4FF4">
        <w:rPr>
          <w:rFonts w:cs="Arial"/>
          <w:szCs w:val="22"/>
        </w:rPr>
        <w:t>A data subject is entitled to make a request in writing to see any personal data held about them under the Act. The school must ensure they only provide data to the data subject o</w:t>
      </w:r>
      <w:r w:rsidR="00DE0178">
        <w:rPr>
          <w:rFonts w:cs="Arial"/>
          <w:szCs w:val="22"/>
        </w:rPr>
        <w:t>r</w:t>
      </w:r>
      <w:r w:rsidRPr="006E4FF4">
        <w:rPr>
          <w:rFonts w:cs="Arial"/>
          <w:szCs w:val="22"/>
        </w:rPr>
        <w:t xml:space="preserve"> an authorised person on their behalf and so may require the data subject to provide proof of identity and current residence before the request is processed</w:t>
      </w:r>
      <w:r w:rsidR="00DE0178">
        <w:rPr>
          <w:rFonts w:cs="Arial"/>
          <w:szCs w:val="22"/>
        </w:rPr>
        <w:t>. T</w:t>
      </w:r>
      <w:r w:rsidRPr="006E4FF4">
        <w:rPr>
          <w:rFonts w:cs="Arial"/>
          <w:szCs w:val="22"/>
        </w:rPr>
        <w:t xml:space="preserve">his must be in the form of photographic ID, such as </w:t>
      </w:r>
      <w:r w:rsidR="00DE0178" w:rsidRPr="006E4FF4">
        <w:rPr>
          <w:rFonts w:cs="Arial"/>
          <w:szCs w:val="22"/>
        </w:rPr>
        <w:t>driver’s</w:t>
      </w:r>
      <w:r w:rsidRPr="006E4FF4">
        <w:rPr>
          <w:rFonts w:cs="Arial"/>
          <w:szCs w:val="22"/>
        </w:rPr>
        <w:t xml:space="preserve"> license or passport and a recent utility bill or bank statement as proof of address. This is to prevent unauthorised disclosure to third parties. The documents </w:t>
      </w:r>
      <w:proofErr w:type="gramStart"/>
      <w:r w:rsidRPr="006E4FF4">
        <w:rPr>
          <w:rFonts w:cs="Arial"/>
          <w:szCs w:val="22"/>
        </w:rPr>
        <w:t>must be brought in</w:t>
      </w:r>
      <w:proofErr w:type="gramEnd"/>
      <w:r w:rsidRPr="006E4FF4">
        <w:rPr>
          <w:rFonts w:cs="Arial"/>
          <w:szCs w:val="22"/>
        </w:rPr>
        <w:t xml:space="preserve"> to the school so that the identity of the person can be verified. Only in exceptional circumstances </w:t>
      </w:r>
      <w:proofErr w:type="gramStart"/>
      <w:r w:rsidRPr="006E4FF4">
        <w:rPr>
          <w:rFonts w:cs="Arial"/>
          <w:szCs w:val="22"/>
        </w:rPr>
        <w:t>can this requirement be waived</w:t>
      </w:r>
      <w:proofErr w:type="gramEnd"/>
      <w:r w:rsidRPr="006E4FF4">
        <w:rPr>
          <w:rFonts w:cs="Arial"/>
          <w:szCs w:val="22"/>
        </w:rPr>
        <w:t xml:space="preserve">. </w:t>
      </w:r>
      <w:r w:rsidR="00DE0178">
        <w:rPr>
          <w:rFonts w:cs="Arial"/>
          <w:szCs w:val="22"/>
        </w:rPr>
        <w:t>I</w:t>
      </w:r>
      <w:r w:rsidRPr="006E4FF4">
        <w:rPr>
          <w:rFonts w:cs="Arial"/>
          <w:szCs w:val="22"/>
        </w:rPr>
        <w:t xml:space="preserve">f ID </w:t>
      </w:r>
      <w:proofErr w:type="gramStart"/>
      <w:r w:rsidRPr="006E4FF4">
        <w:rPr>
          <w:rFonts w:cs="Arial"/>
          <w:szCs w:val="22"/>
        </w:rPr>
        <w:t>cannot be provided</w:t>
      </w:r>
      <w:proofErr w:type="gramEnd"/>
      <w:r w:rsidRPr="006E4FF4">
        <w:rPr>
          <w:rFonts w:cs="Arial"/>
          <w:szCs w:val="22"/>
        </w:rPr>
        <w:t xml:space="preserve"> face to face</w:t>
      </w:r>
      <w:r w:rsidR="00DE0178">
        <w:rPr>
          <w:rFonts w:cs="Arial"/>
          <w:szCs w:val="22"/>
        </w:rPr>
        <w:t xml:space="preserve">, contact </w:t>
      </w:r>
      <w:r w:rsidR="00CE77E9">
        <w:rPr>
          <w:rFonts w:cs="Arial"/>
          <w:szCs w:val="22"/>
        </w:rPr>
        <w:t>the Business Manager.</w:t>
      </w:r>
    </w:p>
    <w:p w:rsidR="00F7323A" w:rsidRPr="006E4FF4" w:rsidRDefault="00F7323A" w:rsidP="00F7323A">
      <w:pPr>
        <w:rPr>
          <w:rFonts w:cs="Arial"/>
          <w:szCs w:val="22"/>
        </w:rPr>
      </w:pPr>
      <w:r w:rsidRPr="006E4FF4">
        <w:rPr>
          <w:rFonts w:cs="Arial"/>
          <w:szCs w:val="22"/>
        </w:rPr>
        <w:t>.</w:t>
      </w:r>
    </w:p>
    <w:p w:rsidR="00654907" w:rsidRDefault="00654907">
      <w:pPr>
        <w:rPr>
          <w:rFonts w:cs="Arial"/>
          <w:szCs w:val="22"/>
        </w:rPr>
      </w:pPr>
      <w:r>
        <w:rPr>
          <w:rFonts w:cs="Arial"/>
          <w:szCs w:val="22"/>
        </w:rPr>
        <w:br w:type="page"/>
      </w:r>
    </w:p>
    <w:p w:rsidR="00F7323A" w:rsidRPr="006E4FF4" w:rsidRDefault="00F7323A" w:rsidP="00F7323A">
      <w:pPr>
        <w:rPr>
          <w:rFonts w:cs="Arial"/>
          <w:szCs w:val="22"/>
        </w:rPr>
      </w:pPr>
    </w:p>
    <w:p w:rsidR="00F7323A" w:rsidRPr="006E4FF4" w:rsidRDefault="00F7323A" w:rsidP="00F7323A">
      <w:pPr>
        <w:rPr>
          <w:rFonts w:cs="Arial"/>
          <w:szCs w:val="22"/>
        </w:rPr>
      </w:pPr>
    </w:p>
    <w:p w:rsidR="00F7323A" w:rsidRPr="00654907" w:rsidRDefault="00BF0C54" w:rsidP="00BF0C54">
      <w:pPr>
        <w:pStyle w:val="11Numberinglevel2"/>
        <w:numPr>
          <w:ilvl w:val="1"/>
          <w:numId w:val="25"/>
        </w:numPr>
      </w:pPr>
      <w:bookmarkStart w:id="7" w:name="_Toc507921565"/>
      <w:r>
        <w:t xml:space="preserve">     </w:t>
      </w:r>
      <w:r w:rsidR="00F7323A" w:rsidRPr="00654907">
        <w:t>On Behalf of the Data Subject</w:t>
      </w:r>
      <w:bookmarkEnd w:id="7"/>
    </w:p>
    <w:p w:rsidR="00F7323A" w:rsidRPr="006E4FF4" w:rsidRDefault="00F7323A" w:rsidP="00CE77E9">
      <w:pPr>
        <w:shd w:val="clear" w:color="auto" w:fill="FFFFFF"/>
        <w:rPr>
          <w:rFonts w:cs="Arial"/>
          <w:szCs w:val="22"/>
        </w:rPr>
      </w:pPr>
      <w:r w:rsidRPr="006E4FF4">
        <w:rPr>
          <w:rFonts w:cs="Arial"/>
          <w:szCs w:val="22"/>
        </w:rPr>
        <w:t xml:space="preserve">Anyone applying for a Subject Access Request on behalf of someone else must apply in writing together with written authorisation from the data subject, which </w:t>
      </w:r>
      <w:proofErr w:type="gramStart"/>
      <w:r w:rsidRPr="006E4FF4">
        <w:rPr>
          <w:rFonts w:cs="Arial"/>
          <w:szCs w:val="22"/>
        </w:rPr>
        <w:t>must be signed</w:t>
      </w:r>
      <w:proofErr w:type="gramEnd"/>
      <w:r w:rsidRPr="006E4FF4">
        <w:rPr>
          <w:rFonts w:cs="Arial"/>
          <w:szCs w:val="22"/>
        </w:rPr>
        <w:t xml:space="preserve"> by the data subjects themselves, if they have</w:t>
      </w:r>
      <w:r w:rsidR="00BF0C54">
        <w:rPr>
          <w:rFonts w:cs="Arial"/>
          <w:szCs w:val="22"/>
        </w:rPr>
        <w:t xml:space="preserve"> the</w:t>
      </w:r>
      <w:r w:rsidRPr="006E4FF4">
        <w:rPr>
          <w:rFonts w:cs="Arial"/>
          <w:szCs w:val="22"/>
        </w:rPr>
        <w:t xml:space="preserve"> capacity. The school requires both the data subject and the person making the request to bring in photographic ID and proof of address. Only in exceptional circumstances </w:t>
      </w:r>
      <w:proofErr w:type="gramStart"/>
      <w:r w:rsidRPr="006E4FF4">
        <w:rPr>
          <w:rFonts w:cs="Arial"/>
          <w:szCs w:val="22"/>
        </w:rPr>
        <w:t>can this requirement be waived</w:t>
      </w:r>
      <w:proofErr w:type="gramEnd"/>
      <w:r w:rsidRPr="006E4FF4">
        <w:rPr>
          <w:rFonts w:cs="Arial"/>
          <w:szCs w:val="22"/>
        </w:rPr>
        <w:t xml:space="preserve">. </w:t>
      </w:r>
      <w:r w:rsidR="00DE0178">
        <w:rPr>
          <w:rFonts w:cs="Arial"/>
          <w:szCs w:val="22"/>
        </w:rPr>
        <w:t>I</w:t>
      </w:r>
      <w:r w:rsidRPr="006E4FF4">
        <w:rPr>
          <w:rFonts w:cs="Arial"/>
          <w:szCs w:val="22"/>
        </w:rPr>
        <w:t>f ID cannot be provided face to face</w:t>
      </w:r>
      <w:r w:rsidR="00DE0178" w:rsidRPr="006E4FF4">
        <w:rPr>
          <w:rFonts w:cs="Arial"/>
          <w:szCs w:val="22"/>
        </w:rPr>
        <w:t xml:space="preserve">. </w:t>
      </w:r>
      <w:r w:rsidR="00DE0178">
        <w:rPr>
          <w:rFonts w:cs="Arial"/>
          <w:szCs w:val="22"/>
        </w:rPr>
        <w:t>I</w:t>
      </w:r>
      <w:r w:rsidR="00DE0178" w:rsidRPr="006E4FF4">
        <w:rPr>
          <w:rFonts w:cs="Arial"/>
          <w:szCs w:val="22"/>
        </w:rPr>
        <w:t xml:space="preserve">f ID </w:t>
      </w:r>
      <w:proofErr w:type="gramStart"/>
      <w:r w:rsidR="00DE0178" w:rsidRPr="006E4FF4">
        <w:rPr>
          <w:rFonts w:cs="Arial"/>
          <w:szCs w:val="22"/>
        </w:rPr>
        <w:t>cannot be provided</w:t>
      </w:r>
      <w:proofErr w:type="gramEnd"/>
      <w:r w:rsidR="00DE0178" w:rsidRPr="006E4FF4">
        <w:rPr>
          <w:rFonts w:cs="Arial"/>
          <w:szCs w:val="22"/>
        </w:rPr>
        <w:t xml:space="preserve"> face to face</w:t>
      </w:r>
      <w:r w:rsidR="00DE0178">
        <w:rPr>
          <w:rFonts w:cs="Arial"/>
          <w:szCs w:val="22"/>
        </w:rPr>
        <w:t xml:space="preserve">, contact </w:t>
      </w:r>
      <w:r w:rsidR="00DE0178" w:rsidRPr="00BF0C54">
        <w:rPr>
          <w:rFonts w:cs="Arial"/>
        </w:rPr>
        <w:t xml:space="preserve">the </w:t>
      </w:r>
      <w:r w:rsidR="00CE77E9" w:rsidRPr="00BF0C54">
        <w:rPr>
          <w:rFonts w:eastAsia="Times New Roman" w:cstheme="minorHAnsi"/>
          <w:bCs/>
          <w:color w:val="000000"/>
        </w:rPr>
        <w:t>Business Manager</w:t>
      </w:r>
      <w:r w:rsidR="00CE77E9">
        <w:rPr>
          <w:rFonts w:ascii="Arial" w:eastAsia="Times New Roman" w:hAnsi="Arial" w:cs="Arial"/>
          <w:bCs/>
          <w:color w:val="000000"/>
          <w:sz w:val="18"/>
          <w:szCs w:val="18"/>
        </w:rPr>
        <w:t>.</w:t>
      </w:r>
    </w:p>
    <w:p w:rsidR="00F7323A" w:rsidRPr="006E4FF4" w:rsidRDefault="00F7323A" w:rsidP="00BF0C54">
      <w:pPr>
        <w:pStyle w:val="11Numberinglevel2"/>
        <w:numPr>
          <w:ilvl w:val="1"/>
          <w:numId w:val="25"/>
        </w:numPr>
        <w:ind w:left="709" w:hanging="709"/>
      </w:pPr>
      <w:bookmarkStart w:id="8" w:name="_Toc507921566"/>
      <w:r w:rsidRPr="006E4FF4">
        <w:t>A Person with Parental Responsibility</w:t>
      </w:r>
      <w:bookmarkEnd w:id="8"/>
    </w:p>
    <w:p w:rsidR="00F7323A" w:rsidRPr="006E4FF4" w:rsidRDefault="00F7323A" w:rsidP="00F7323A">
      <w:pPr>
        <w:rPr>
          <w:rFonts w:cs="Arial"/>
          <w:szCs w:val="22"/>
        </w:rPr>
      </w:pPr>
      <w:r w:rsidRPr="006E4FF4">
        <w:rPr>
          <w:rFonts w:cs="Arial"/>
          <w:szCs w:val="22"/>
        </w:rPr>
        <w:t xml:space="preserve">An individual only has a right to access the records of a minor if they have either parental responsibility or legal guardianship of the child. Parental responsibility </w:t>
      </w:r>
      <w:proofErr w:type="gramStart"/>
      <w:r w:rsidRPr="006E4FF4">
        <w:rPr>
          <w:rFonts w:cs="Arial"/>
          <w:szCs w:val="22"/>
        </w:rPr>
        <w:t>is defined in the Children Act 1989 and updated by the Adoption &amp; Children Act 2002</w:t>
      </w:r>
      <w:proofErr w:type="gramEnd"/>
      <w:r w:rsidRPr="006E4FF4">
        <w:rPr>
          <w:rFonts w:cs="Arial"/>
          <w:szCs w:val="22"/>
        </w:rPr>
        <w:t>. A person with parental responsibility is:</w:t>
      </w:r>
    </w:p>
    <w:p w:rsidR="00F7323A" w:rsidRPr="006E4FF4" w:rsidRDefault="00F7323A" w:rsidP="00F7323A">
      <w:pPr>
        <w:spacing w:before="0" w:after="0"/>
        <w:ind w:left="1134" w:hanging="425"/>
        <w:rPr>
          <w:rFonts w:cs="Arial"/>
          <w:szCs w:val="22"/>
        </w:rPr>
      </w:pPr>
      <w:r w:rsidRPr="006E4FF4">
        <w:rPr>
          <w:rFonts w:cs="Arial"/>
          <w:szCs w:val="22"/>
        </w:rPr>
        <w:t>•</w:t>
      </w:r>
      <w:r w:rsidRPr="006E4FF4">
        <w:rPr>
          <w:rFonts w:cs="Arial"/>
          <w:szCs w:val="22"/>
        </w:rPr>
        <w:tab/>
        <w:t>The natural mother;</w:t>
      </w:r>
    </w:p>
    <w:p w:rsidR="00F7323A" w:rsidRPr="006E4FF4" w:rsidRDefault="00F7323A" w:rsidP="00F7323A">
      <w:pPr>
        <w:spacing w:before="0" w:after="0"/>
        <w:ind w:left="1134" w:hanging="425"/>
        <w:rPr>
          <w:rFonts w:cs="Arial"/>
          <w:szCs w:val="22"/>
        </w:rPr>
      </w:pPr>
      <w:r w:rsidRPr="006E4FF4">
        <w:rPr>
          <w:rFonts w:cs="Arial"/>
          <w:szCs w:val="22"/>
        </w:rPr>
        <w:t>•</w:t>
      </w:r>
      <w:r w:rsidRPr="006E4FF4">
        <w:rPr>
          <w:rFonts w:cs="Arial"/>
          <w:szCs w:val="22"/>
        </w:rPr>
        <w:tab/>
        <w:t>The natural father, if married to the mother either before or after the birth</w:t>
      </w:r>
      <w:r w:rsidR="00DE0178">
        <w:rPr>
          <w:rFonts w:cs="Arial"/>
          <w:szCs w:val="22"/>
        </w:rPr>
        <w:t xml:space="preserve">, even if divorced or </w:t>
      </w:r>
      <w:proofErr w:type="gramStart"/>
      <w:r w:rsidR="00DE0178">
        <w:rPr>
          <w:rFonts w:cs="Arial"/>
          <w:szCs w:val="22"/>
        </w:rPr>
        <w:t>separated</w:t>
      </w:r>
      <w:proofErr w:type="gramEnd"/>
      <w:r w:rsidR="00DE0178">
        <w:rPr>
          <w:rFonts w:cs="Arial"/>
          <w:szCs w:val="22"/>
        </w:rPr>
        <w:t>;</w:t>
      </w:r>
    </w:p>
    <w:p w:rsidR="00F7323A" w:rsidRPr="006E4FF4" w:rsidRDefault="00F7323A" w:rsidP="00F7323A">
      <w:pPr>
        <w:spacing w:before="0" w:after="0"/>
        <w:ind w:left="1134" w:hanging="425"/>
        <w:rPr>
          <w:rFonts w:cs="Arial"/>
          <w:szCs w:val="22"/>
        </w:rPr>
      </w:pPr>
      <w:proofErr w:type="gramStart"/>
      <w:r w:rsidRPr="006E4FF4">
        <w:rPr>
          <w:rFonts w:cs="Arial"/>
          <w:szCs w:val="22"/>
        </w:rPr>
        <w:t>•</w:t>
      </w:r>
      <w:r w:rsidRPr="006E4FF4">
        <w:rPr>
          <w:rFonts w:cs="Arial"/>
          <w:szCs w:val="22"/>
        </w:rPr>
        <w:tab/>
        <w:t>The natural father, if unmarried, and he</w:t>
      </w:r>
      <w:proofErr w:type="gramEnd"/>
      <w:r w:rsidRPr="006E4FF4">
        <w:rPr>
          <w:rFonts w:cs="Arial"/>
          <w:szCs w:val="22"/>
        </w:rPr>
        <w:t xml:space="preserve"> registered the birth along with the mother after December 2003;</w:t>
      </w:r>
    </w:p>
    <w:p w:rsidR="00F7323A" w:rsidRPr="006E4FF4" w:rsidRDefault="00F7323A" w:rsidP="00F7323A">
      <w:pPr>
        <w:spacing w:before="0" w:after="0"/>
        <w:ind w:left="1134" w:hanging="425"/>
        <w:rPr>
          <w:rFonts w:cs="Arial"/>
          <w:szCs w:val="22"/>
        </w:rPr>
      </w:pPr>
      <w:r w:rsidRPr="006E4FF4">
        <w:rPr>
          <w:rFonts w:cs="Arial"/>
          <w:szCs w:val="22"/>
        </w:rPr>
        <w:t>•</w:t>
      </w:r>
      <w:r w:rsidRPr="006E4FF4">
        <w:rPr>
          <w:rFonts w:cs="Arial"/>
          <w:szCs w:val="22"/>
        </w:rPr>
        <w:tab/>
        <w:t>The natural father, if unmarried, by agreement with the mother (evidenced by a form provided by a solicitor, signed by both parents and witnessed by an Officer of the Court) or by a court order (parental responsibility order);</w:t>
      </w:r>
    </w:p>
    <w:p w:rsidR="00F7323A" w:rsidRPr="006E4FF4" w:rsidRDefault="00F7323A" w:rsidP="00F7323A">
      <w:pPr>
        <w:spacing w:before="0" w:after="0"/>
        <w:ind w:left="1134" w:hanging="425"/>
        <w:rPr>
          <w:rFonts w:cs="Arial"/>
          <w:szCs w:val="22"/>
        </w:rPr>
      </w:pPr>
      <w:r w:rsidRPr="006E4FF4">
        <w:rPr>
          <w:rFonts w:cs="Arial"/>
          <w:szCs w:val="22"/>
        </w:rPr>
        <w:t>•</w:t>
      </w:r>
      <w:r w:rsidRPr="006E4FF4">
        <w:rPr>
          <w:rFonts w:cs="Arial"/>
          <w:szCs w:val="22"/>
        </w:rPr>
        <w:tab/>
        <w:t>The natural father, if unmarried, and appointed as the child's guardian on the death of the natural mother;</w:t>
      </w:r>
    </w:p>
    <w:p w:rsidR="00F7323A" w:rsidRPr="006E4FF4" w:rsidRDefault="00F7323A" w:rsidP="00F7323A">
      <w:pPr>
        <w:spacing w:before="0" w:after="0"/>
        <w:ind w:left="1134" w:hanging="425"/>
        <w:rPr>
          <w:rFonts w:cs="Arial"/>
          <w:szCs w:val="22"/>
        </w:rPr>
      </w:pPr>
      <w:r w:rsidRPr="006E4FF4">
        <w:rPr>
          <w:rFonts w:cs="Arial"/>
          <w:szCs w:val="22"/>
        </w:rPr>
        <w:t>•</w:t>
      </w:r>
      <w:r w:rsidRPr="006E4FF4">
        <w:rPr>
          <w:rFonts w:cs="Arial"/>
          <w:szCs w:val="22"/>
        </w:rPr>
        <w:tab/>
        <w:t xml:space="preserve">An individual (generally a family member) with a residence order for the child (if the order is for a period of time, then parental responsibility </w:t>
      </w:r>
      <w:proofErr w:type="gramStart"/>
      <w:r w:rsidRPr="006E4FF4">
        <w:rPr>
          <w:rFonts w:cs="Arial"/>
          <w:szCs w:val="22"/>
        </w:rPr>
        <w:t>is removed</w:t>
      </w:r>
      <w:proofErr w:type="gramEnd"/>
      <w:r w:rsidRPr="006E4FF4">
        <w:rPr>
          <w:rFonts w:cs="Arial"/>
          <w:szCs w:val="22"/>
        </w:rPr>
        <w:t xml:space="preserve"> at the end of the period);</w:t>
      </w:r>
    </w:p>
    <w:p w:rsidR="00F7323A" w:rsidRPr="006E4FF4" w:rsidRDefault="00F7323A" w:rsidP="00F7323A">
      <w:pPr>
        <w:spacing w:before="0" w:after="0"/>
        <w:ind w:left="1134" w:hanging="425"/>
        <w:rPr>
          <w:rFonts w:cs="Arial"/>
          <w:szCs w:val="22"/>
        </w:rPr>
      </w:pPr>
      <w:r w:rsidRPr="006E4FF4">
        <w:rPr>
          <w:rFonts w:cs="Arial"/>
          <w:szCs w:val="22"/>
        </w:rPr>
        <w:t>•</w:t>
      </w:r>
      <w:r w:rsidRPr="006E4FF4">
        <w:rPr>
          <w:rFonts w:cs="Arial"/>
          <w:szCs w:val="22"/>
        </w:rPr>
        <w:tab/>
        <w:t>An individual who has legally adopted the child;</w:t>
      </w:r>
    </w:p>
    <w:p w:rsidR="00F7323A" w:rsidRPr="006E4FF4" w:rsidRDefault="00F7323A" w:rsidP="00CF12CA">
      <w:pPr>
        <w:spacing w:before="0" w:after="0"/>
        <w:ind w:left="1134" w:hanging="425"/>
        <w:rPr>
          <w:rFonts w:cs="Arial"/>
          <w:szCs w:val="22"/>
        </w:rPr>
      </w:pPr>
      <w:r w:rsidRPr="006E4FF4">
        <w:rPr>
          <w:rFonts w:cs="Arial"/>
          <w:szCs w:val="22"/>
        </w:rPr>
        <w:t>•</w:t>
      </w:r>
      <w:r w:rsidRPr="006E4FF4">
        <w:rPr>
          <w:rFonts w:cs="Arial"/>
          <w:szCs w:val="22"/>
        </w:rPr>
        <w:tab/>
        <w:t>A local authority under a care order - individual acting as a Children's</w:t>
      </w:r>
      <w:r w:rsidR="00CF12CA">
        <w:rPr>
          <w:rFonts w:cs="Arial"/>
          <w:szCs w:val="22"/>
        </w:rPr>
        <w:t xml:space="preserve"> </w:t>
      </w:r>
      <w:r w:rsidRPr="006E4FF4">
        <w:rPr>
          <w:rFonts w:cs="Arial"/>
          <w:szCs w:val="22"/>
        </w:rPr>
        <w:t xml:space="preserve">Guardian:  If </w:t>
      </w:r>
      <w:proofErr w:type="gramStart"/>
      <w:r w:rsidRPr="006E4FF4">
        <w:rPr>
          <w:rFonts w:cs="Arial"/>
          <w:szCs w:val="22"/>
        </w:rPr>
        <w:t>the application for access to a child's record is made by someone having parental responsibility</w:t>
      </w:r>
      <w:proofErr w:type="gramEnd"/>
      <w:r w:rsidRPr="006E4FF4">
        <w:rPr>
          <w:rFonts w:cs="Arial"/>
          <w:szCs w:val="22"/>
        </w:rPr>
        <w:t xml:space="preserve"> access shall only be given where:</w:t>
      </w:r>
    </w:p>
    <w:p w:rsidR="00F7323A" w:rsidRPr="00CF12CA" w:rsidRDefault="00F7323A" w:rsidP="00CF12CA">
      <w:pPr>
        <w:pStyle w:val="ListParagraph"/>
        <w:numPr>
          <w:ilvl w:val="0"/>
          <w:numId w:val="23"/>
        </w:numPr>
        <w:spacing w:before="0" w:after="0"/>
        <w:rPr>
          <w:rFonts w:cs="Arial"/>
          <w:szCs w:val="22"/>
        </w:rPr>
      </w:pPr>
      <w:r w:rsidRPr="00CF12CA">
        <w:rPr>
          <w:rFonts w:cs="Arial"/>
          <w:szCs w:val="22"/>
        </w:rPr>
        <w:t>The child is capable of understanding what the application is about and has consented to it.</w:t>
      </w:r>
    </w:p>
    <w:p w:rsidR="00F7323A" w:rsidRPr="00CF12CA" w:rsidRDefault="00F7323A" w:rsidP="00CF12CA">
      <w:pPr>
        <w:pStyle w:val="ListParagraph"/>
        <w:numPr>
          <w:ilvl w:val="0"/>
          <w:numId w:val="23"/>
        </w:numPr>
        <w:spacing w:before="0" w:after="0"/>
        <w:rPr>
          <w:rFonts w:cs="Arial"/>
          <w:szCs w:val="22"/>
        </w:rPr>
      </w:pPr>
      <w:r w:rsidRPr="00CF12CA">
        <w:rPr>
          <w:rFonts w:cs="Arial"/>
          <w:szCs w:val="22"/>
        </w:rPr>
        <w:t xml:space="preserve">The child is not capable of understanding the nature of the application and giving access would be in his/her best interests. The relevant professionals will decide on the child's capacity to understand the application. </w:t>
      </w:r>
    </w:p>
    <w:p w:rsidR="00F7323A" w:rsidRPr="006E4FF4" w:rsidRDefault="00F7323A" w:rsidP="00F7323A">
      <w:pPr>
        <w:rPr>
          <w:rFonts w:cs="Arial"/>
          <w:szCs w:val="22"/>
        </w:rPr>
      </w:pPr>
      <w:r w:rsidRPr="006E4FF4">
        <w:rPr>
          <w:rFonts w:cs="Arial"/>
          <w:szCs w:val="22"/>
        </w:rPr>
        <w:t>If an individual is claiming parental responsibility then they must provide a copy of the necessary evidence such as a parental responsibility order or the long version of the birth certificate of the child.</w:t>
      </w:r>
    </w:p>
    <w:p w:rsidR="00F7323A" w:rsidRPr="006E4FF4" w:rsidRDefault="00F7323A" w:rsidP="00BF0C54">
      <w:pPr>
        <w:pStyle w:val="11Numberinglevel2"/>
        <w:numPr>
          <w:ilvl w:val="1"/>
          <w:numId w:val="25"/>
        </w:numPr>
        <w:ind w:left="709" w:hanging="709"/>
      </w:pPr>
      <w:bookmarkStart w:id="9" w:name="_Toc507921567"/>
      <w:r w:rsidRPr="006E4FF4">
        <w:t>A Person Appointed by the Courts</w:t>
      </w:r>
      <w:bookmarkEnd w:id="9"/>
    </w:p>
    <w:p w:rsidR="00F7323A" w:rsidRPr="006E4FF4" w:rsidRDefault="00F7323A" w:rsidP="00F7323A">
      <w:pPr>
        <w:rPr>
          <w:rFonts w:cs="Arial"/>
          <w:szCs w:val="22"/>
        </w:rPr>
      </w:pPr>
      <w:r w:rsidRPr="006E4FF4">
        <w:rPr>
          <w:rFonts w:cs="Arial"/>
          <w:szCs w:val="22"/>
        </w:rPr>
        <w:t xml:space="preserve">Where the data subject is incapable of managing their affairs someone appointed to act on their behalf by a court of law may submit a subject access request. Proof of the court order </w:t>
      </w:r>
      <w:proofErr w:type="gramStart"/>
      <w:r w:rsidRPr="006E4FF4">
        <w:rPr>
          <w:rFonts w:cs="Arial"/>
          <w:szCs w:val="22"/>
        </w:rPr>
        <w:t>must be given</w:t>
      </w:r>
      <w:proofErr w:type="gramEnd"/>
      <w:r w:rsidRPr="006E4FF4">
        <w:rPr>
          <w:rFonts w:cs="Arial"/>
          <w:szCs w:val="22"/>
        </w:rPr>
        <w:t>.</w:t>
      </w:r>
    </w:p>
    <w:p w:rsidR="00F7323A" w:rsidRPr="006E4FF4" w:rsidRDefault="00F7323A" w:rsidP="00F7323A">
      <w:pPr>
        <w:rPr>
          <w:rFonts w:cs="Arial"/>
          <w:szCs w:val="22"/>
        </w:rPr>
      </w:pPr>
    </w:p>
    <w:p w:rsidR="00F7323A" w:rsidRPr="006E4FF4" w:rsidRDefault="00F7323A" w:rsidP="00BF0C54">
      <w:pPr>
        <w:pStyle w:val="11Numberinglevel2"/>
        <w:numPr>
          <w:ilvl w:val="1"/>
          <w:numId w:val="25"/>
        </w:numPr>
        <w:ind w:left="709" w:hanging="709"/>
      </w:pPr>
      <w:bookmarkStart w:id="10" w:name="_Toc507921568"/>
      <w:r w:rsidRPr="006E4FF4">
        <w:t>Solicitors acting on behalf of a Client or Insurance Companies</w:t>
      </w:r>
      <w:bookmarkEnd w:id="10"/>
    </w:p>
    <w:p w:rsidR="00F7323A" w:rsidRPr="006E4FF4" w:rsidRDefault="00F7323A" w:rsidP="00F7323A">
      <w:pPr>
        <w:rPr>
          <w:rFonts w:cs="Arial"/>
          <w:szCs w:val="22"/>
        </w:rPr>
      </w:pPr>
      <w:r w:rsidRPr="006E4FF4">
        <w:rPr>
          <w:rFonts w:cs="Arial"/>
          <w:szCs w:val="22"/>
        </w:rPr>
        <w:t xml:space="preserve">Where a solicitor or other legal professional requests access on behalf of a client they are representing, the appropriate form of authority containing the signed consent of their client </w:t>
      </w:r>
      <w:proofErr w:type="gramStart"/>
      <w:r w:rsidRPr="006E4FF4">
        <w:rPr>
          <w:rFonts w:cs="Arial"/>
          <w:szCs w:val="22"/>
        </w:rPr>
        <w:t>must be obtained and evidenced</w:t>
      </w:r>
      <w:proofErr w:type="gramEnd"/>
      <w:r w:rsidRPr="006E4FF4">
        <w:rPr>
          <w:rFonts w:cs="Arial"/>
          <w:szCs w:val="22"/>
        </w:rPr>
        <w:t xml:space="preserve">. The request </w:t>
      </w:r>
      <w:proofErr w:type="gramStart"/>
      <w:r w:rsidRPr="006E4FF4">
        <w:rPr>
          <w:rFonts w:cs="Arial"/>
          <w:szCs w:val="22"/>
        </w:rPr>
        <w:t>must be dealt with</w:t>
      </w:r>
      <w:proofErr w:type="gramEnd"/>
      <w:r w:rsidRPr="006E4FF4">
        <w:rPr>
          <w:rFonts w:cs="Arial"/>
          <w:szCs w:val="22"/>
        </w:rPr>
        <w:t xml:space="preserve"> in the same way as if it had come direct from the Data Subject.</w:t>
      </w:r>
    </w:p>
    <w:p w:rsidR="00F7323A" w:rsidRPr="006E4FF4" w:rsidRDefault="00F7323A" w:rsidP="00BF0C54">
      <w:pPr>
        <w:pStyle w:val="11Numberinglevel2"/>
        <w:numPr>
          <w:ilvl w:val="1"/>
          <w:numId w:val="25"/>
        </w:numPr>
        <w:ind w:left="709" w:hanging="709"/>
      </w:pPr>
      <w:bookmarkStart w:id="11" w:name="_Toc507921569"/>
      <w:r w:rsidRPr="006E4FF4">
        <w:lastRenderedPageBreak/>
        <w:t>Third Party Requests</w:t>
      </w:r>
      <w:bookmarkEnd w:id="11"/>
    </w:p>
    <w:p w:rsidR="00F7323A" w:rsidRPr="006E4FF4" w:rsidRDefault="00F7323A" w:rsidP="00F7323A">
      <w:pPr>
        <w:rPr>
          <w:rFonts w:cs="Arial"/>
          <w:szCs w:val="22"/>
        </w:rPr>
      </w:pPr>
      <w:r w:rsidRPr="006E4FF4">
        <w:rPr>
          <w:rFonts w:cs="Arial"/>
          <w:szCs w:val="22"/>
        </w:rPr>
        <w:t xml:space="preserve">In addition to subject access </w:t>
      </w:r>
      <w:proofErr w:type="gramStart"/>
      <w:r w:rsidRPr="006E4FF4">
        <w:rPr>
          <w:rFonts w:cs="Arial"/>
          <w:szCs w:val="22"/>
        </w:rPr>
        <w:t>requests</w:t>
      </w:r>
      <w:proofErr w:type="gramEnd"/>
      <w:r w:rsidRPr="006E4FF4">
        <w:rPr>
          <w:rFonts w:cs="Arial"/>
          <w:szCs w:val="22"/>
        </w:rPr>
        <w:t xml:space="preserve"> the school may also receive third party requests submitted under the Data Protection Act. All third party requests </w:t>
      </w:r>
      <w:proofErr w:type="gramStart"/>
      <w:r w:rsidRPr="006E4FF4">
        <w:rPr>
          <w:rFonts w:cs="Arial"/>
          <w:szCs w:val="22"/>
        </w:rPr>
        <w:t>should be submitted</w:t>
      </w:r>
      <w:proofErr w:type="gramEnd"/>
      <w:r w:rsidRPr="006E4FF4">
        <w:rPr>
          <w:rFonts w:cs="Arial"/>
          <w:szCs w:val="22"/>
        </w:rPr>
        <w:t xml:space="preserve"> in the same manner as Subject Access Requests. They will </w:t>
      </w:r>
      <w:proofErr w:type="gramStart"/>
      <w:r w:rsidRPr="006E4FF4">
        <w:rPr>
          <w:rFonts w:cs="Arial"/>
          <w:szCs w:val="22"/>
        </w:rPr>
        <w:t>be considered</w:t>
      </w:r>
      <w:proofErr w:type="gramEnd"/>
      <w:r w:rsidRPr="006E4FF4">
        <w:rPr>
          <w:rFonts w:cs="Arial"/>
          <w:szCs w:val="22"/>
        </w:rPr>
        <w:t xml:space="preserve"> by the Business Manager and will be given the same level of confidentiality as a subject access request.</w:t>
      </w:r>
    </w:p>
    <w:p w:rsidR="00F7323A" w:rsidRPr="006E4FF4" w:rsidRDefault="00F7323A" w:rsidP="00BF0C54">
      <w:pPr>
        <w:pStyle w:val="111Numberinglevel3"/>
        <w:numPr>
          <w:ilvl w:val="2"/>
          <w:numId w:val="25"/>
        </w:numPr>
        <w:ind w:left="709" w:hanging="709"/>
      </w:pPr>
      <w:r w:rsidRPr="006E4FF4">
        <w:t>The Police</w:t>
      </w:r>
    </w:p>
    <w:p w:rsidR="00F7323A" w:rsidRPr="006E4FF4" w:rsidRDefault="00F7323A" w:rsidP="00F7323A">
      <w:pPr>
        <w:rPr>
          <w:rFonts w:cs="Arial"/>
          <w:szCs w:val="22"/>
        </w:rPr>
      </w:pPr>
      <w:r w:rsidRPr="006E4FF4">
        <w:rPr>
          <w:rFonts w:cs="Arial"/>
          <w:szCs w:val="22"/>
        </w:rPr>
        <w:t xml:space="preserve">The police may from time to time submit requests for information relating to a specific individual, these requests </w:t>
      </w:r>
      <w:proofErr w:type="gramStart"/>
      <w:r w:rsidRPr="006E4FF4">
        <w:rPr>
          <w:rFonts w:cs="Arial"/>
          <w:szCs w:val="22"/>
        </w:rPr>
        <w:t>are made</w:t>
      </w:r>
      <w:proofErr w:type="gramEnd"/>
      <w:r w:rsidRPr="006E4FF4">
        <w:rPr>
          <w:rFonts w:cs="Arial"/>
          <w:szCs w:val="22"/>
        </w:rPr>
        <w:t xml:space="preserve"> in order to prevent or detect crime or for taxation purposes. In these </w:t>
      </w:r>
      <w:r w:rsidR="00CF12CA" w:rsidRPr="006E4FF4">
        <w:rPr>
          <w:rFonts w:cs="Arial"/>
          <w:szCs w:val="22"/>
        </w:rPr>
        <w:t>circumstances,</w:t>
      </w:r>
      <w:r w:rsidRPr="006E4FF4">
        <w:rPr>
          <w:rFonts w:cs="Arial"/>
          <w:szCs w:val="22"/>
        </w:rPr>
        <w:t xml:space="preserve"> the school </w:t>
      </w:r>
      <w:proofErr w:type="gramStart"/>
      <w:r w:rsidRPr="006E4FF4">
        <w:rPr>
          <w:rFonts w:cs="Arial"/>
          <w:szCs w:val="22"/>
        </w:rPr>
        <w:t>will not be required</w:t>
      </w:r>
      <w:proofErr w:type="gramEnd"/>
      <w:r w:rsidRPr="006E4FF4">
        <w:rPr>
          <w:rFonts w:cs="Arial"/>
          <w:szCs w:val="22"/>
        </w:rPr>
        <w:t xml:space="preserve"> to obtain the consent of the data subject. Requests </w:t>
      </w:r>
      <w:proofErr w:type="gramStart"/>
      <w:r w:rsidRPr="006E4FF4">
        <w:rPr>
          <w:rFonts w:cs="Arial"/>
          <w:szCs w:val="22"/>
        </w:rPr>
        <w:t>should be made using s29 form and authorised by a senior officer</w:t>
      </w:r>
      <w:proofErr w:type="gramEnd"/>
      <w:r w:rsidRPr="006E4FF4">
        <w:rPr>
          <w:rFonts w:cs="Arial"/>
          <w:szCs w:val="22"/>
        </w:rPr>
        <w:t>.</w:t>
      </w:r>
    </w:p>
    <w:p w:rsidR="00F7323A" w:rsidRPr="006E4FF4" w:rsidRDefault="00F7323A" w:rsidP="00BF0C54">
      <w:pPr>
        <w:pStyle w:val="111Numberinglevel3"/>
        <w:numPr>
          <w:ilvl w:val="2"/>
          <w:numId w:val="25"/>
        </w:numPr>
        <w:ind w:left="709" w:hanging="709"/>
      </w:pPr>
      <w:r w:rsidRPr="006E4FF4">
        <w:t>Other Government Agencies</w:t>
      </w:r>
    </w:p>
    <w:p w:rsidR="00F7323A" w:rsidRPr="006E4FF4" w:rsidRDefault="00F7323A" w:rsidP="00F7323A">
      <w:pPr>
        <w:rPr>
          <w:rFonts w:cs="Arial"/>
          <w:szCs w:val="22"/>
        </w:rPr>
      </w:pPr>
      <w:r w:rsidRPr="006E4FF4">
        <w:rPr>
          <w:rFonts w:cs="Arial"/>
          <w:szCs w:val="22"/>
        </w:rPr>
        <w:t xml:space="preserve">In some </w:t>
      </w:r>
      <w:r w:rsidR="00CF12CA" w:rsidRPr="006E4FF4">
        <w:rPr>
          <w:rFonts w:cs="Arial"/>
          <w:szCs w:val="22"/>
        </w:rPr>
        <w:t>circumstances,</w:t>
      </w:r>
      <w:r w:rsidRPr="006E4FF4">
        <w:rPr>
          <w:rFonts w:cs="Arial"/>
          <w:szCs w:val="22"/>
        </w:rPr>
        <w:t xml:space="preserve"> the school </w:t>
      </w:r>
      <w:proofErr w:type="gramStart"/>
      <w:r w:rsidRPr="006E4FF4">
        <w:rPr>
          <w:rFonts w:cs="Arial"/>
          <w:szCs w:val="22"/>
        </w:rPr>
        <w:t>may be asked</w:t>
      </w:r>
      <w:proofErr w:type="gramEnd"/>
      <w:r w:rsidRPr="006E4FF4">
        <w:rPr>
          <w:rFonts w:cs="Arial"/>
          <w:szCs w:val="22"/>
        </w:rPr>
        <w:t xml:space="preserve"> to provide information to other Government Agencies. Government Departments require a range of information to carry out their functions. Unless there is a legal requirement to disclose, for example for the prevention or detection of crime or for safeguarding reasons, the Data Subject </w:t>
      </w:r>
      <w:proofErr w:type="gramStart"/>
      <w:r w:rsidR="00A04AB2">
        <w:rPr>
          <w:rFonts w:cs="Arial"/>
          <w:szCs w:val="22"/>
        </w:rPr>
        <w:t>must</w:t>
      </w:r>
      <w:r w:rsidRPr="006E4FF4">
        <w:rPr>
          <w:rFonts w:cs="Arial"/>
          <w:szCs w:val="22"/>
        </w:rPr>
        <w:t xml:space="preserve"> be informed</w:t>
      </w:r>
      <w:proofErr w:type="gramEnd"/>
      <w:r w:rsidRPr="006E4FF4">
        <w:rPr>
          <w:rFonts w:cs="Arial"/>
          <w:szCs w:val="22"/>
        </w:rPr>
        <w:t xml:space="preserve"> and their consent obtained in writing.</w:t>
      </w:r>
    </w:p>
    <w:p w:rsidR="00F7323A" w:rsidRPr="00A0338B" w:rsidRDefault="00F7323A" w:rsidP="00F7323A">
      <w:pPr>
        <w:pStyle w:val="Hding"/>
      </w:pPr>
      <w:bookmarkStart w:id="12" w:name="_Toc507921570"/>
      <w:bookmarkStart w:id="13" w:name="_Toc514145334"/>
      <w:r w:rsidRPr="00A0338B">
        <w:t>What should I do when I receive a SAR?</w:t>
      </w:r>
      <w:bookmarkEnd w:id="12"/>
      <w:bookmarkEnd w:id="13"/>
    </w:p>
    <w:p w:rsidR="00654907" w:rsidRDefault="00654907" w:rsidP="00F7323A">
      <w:pPr>
        <w:spacing w:before="0" w:after="0"/>
        <w:rPr>
          <w:rFonts w:cs="Arial"/>
          <w:szCs w:val="22"/>
          <w:lang w:val="en-US" w:eastAsia="ja-JP"/>
        </w:rPr>
      </w:pPr>
    </w:p>
    <w:p w:rsidR="00F7323A" w:rsidRPr="006E4FF4" w:rsidRDefault="00F7323A" w:rsidP="00F7323A">
      <w:pPr>
        <w:spacing w:before="0" w:after="0"/>
        <w:rPr>
          <w:rFonts w:cs="Arial"/>
          <w:szCs w:val="22"/>
          <w:lang w:val="en-US" w:eastAsia="ja-JP"/>
        </w:rPr>
      </w:pPr>
      <w:r w:rsidRPr="006E4FF4">
        <w:rPr>
          <w:rFonts w:cs="Arial"/>
          <w:szCs w:val="22"/>
          <w:lang w:val="en-US" w:eastAsia="ja-JP"/>
        </w:rPr>
        <w:t xml:space="preserve">If you receive a SAR direct from a member of the </w:t>
      </w:r>
      <w:proofErr w:type="gramStart"/>
      <w:r w:rsidRPr="006E4FF4">
        <w:rPr>
          <w:rFonts w:cs="Arial"/>
          <w:szCs w:val="22"/>
          <w:lang w:val="en-US" w:eastAsia="ja-JP"/>
        </w:rPr>
        <w:t>public</w:t>
      </w:r>
      <w:proofErr w:type="gramEnd"/>
      <w:r w:rsidRPr="006E4FF4">
        <w:rPr>
          <w:rFonts w:cs="Arial"/>
          <w:szCs w:val="22"/>
          <w:lang w:val="en-US" w:eastAsia="ja-JP"/>
        </w:rPr>
        <w:t xml:space="preserve"> you should determine whether you can deal with the request immediately or whether the request is complex and needs further consideration.</w:t>
      </w:r>
    </w:p>
    <w:p w:rsidR="00F7323A" w:rsidRPr="006E4FF4" w:rsidRDefault="00F7323A" w:rsidP="00F7323A">
      <w:pPr>
        <w:spacing w:before="0" w:after="0"/>
        <w:rPr>
          <w:rFonts w:cs="Arial"/>
          <w:szCs w:val="22"/>
          <w:lang w:val="en-US" w:eastAsia="ja-JP"/>
        </w:rPr>
      </w:pPr>
    </w:p>
    <w:p w:rsidR="00F7323A" w:rsidRPr="006E4FF4" w:rsidRDefault="00F7323A" w:rsidP="00F7323A">
      <w:pPr>
        <w:spacing w:before="0" w:after="0"/>
        <w:rPr>
          <w:rFonts w:cs="Arial"/>
          <w:szCs w:val="22"/>
          <w:lang w:val="en-US" w:eastAsia="ja-JP"/>
        </w:rPr>
      </w:pPr>
      <w:r w:rsidRPr="006E4FF4">
        <w:rPr>
          <w:rFonts w:cs="Arial"/>
          <w:szCs w:val="22"/>
          <w:lang w:val="en-US" w:eastAsia="ja-JP"/>
        </w:rPr>
        <w:t>Simple requests:</w:t>
      </w:r>
    </w:p>
    <w:p w:rsidR="00F7323A" w:rsidRPr="006E4FF4" w:rsidRDefault="00F7323A" w:rsidP="00F7323A">
      <w:pPr>
        <w:spacing w:before="0" w:after="0"/>
        <w:rPr>
          <w:rFonts w:cs="Arial"/>
          <w:szCs w:val="22"/>
          <w:lang w:val="en-US" w:eastAsia="ja-JP"/>
        </w:rPr>
      </w:pPr>
    </w:p>
    <w:p w:rsidR="00F7323A" w:rsidRPr="006E4FF4" w:rsidRDefault="00F7323A" w:rsidP="00F7323A">
      <w:pPr>
        <w:numPr>
          <w:ilvl w:val="0"/>
          <w:numId w:val="18"/>
        </w:numPr>
        <w:spacing w:before="0" w:after="0" w:line="240" w:lineRule="auto"/>
        <w:rPr>
          <w:rFonts w:cs="Arial"/>
          <w:szCs w:val="22"/>
          <w:lang w:val="en-US" w:eastAsia="ja-JP"/>
        </w:rPr>
      </w:pPr>
      <w:r w:rsidRPr="006E4FF4">
        <w:rPr>
          <w:rFonts w:cs="Arial"/>
          <w:szCs w:val="22"/>
          <w:lang w:val="en-US" w:eastAsia="ja-JP"/>
        </w:rPr>
        <w:t>Decide if it is something that you can provide quickly yourself. For example copies of a consent form, exam result, their own letter of complaint.</w:t>
      </w:r>
    </w:p>
    <w:p w:rsidR="00F7323A" w:rsidRPr="006E4FF4" w:rsidRDefault="00F7323A" w:rsidP="00F7323A">
      <w:pPr>
        <w:numPr>
          <w:ilvl w:val="0"/>
          <w:numId w:val="18"/>
        </w:numPr>
        <w:spacing w:before="0" w:after="0" w:line="240" w:lineRule="auto"/>
        <w:rPr>
          <w:rFonts w:cs="Arial"/>
          <w:szCs w:val="22"/>
          <w:lang w:val="en-US" w:eastAsia="ja-JP"/>
        </w:rPr>
      </w:pPr>
      <w:r w:rsidRPr="006E4FF4">
        <w:rPr>
          <w:rFonts w:cs="Arial"/>
          <w:szCs w:val="22"/>
          <w:lang w:val="en-US" w:eastAsia="ja-JP"/>
        </w:rPr>
        <w:t xml:space="preserve">If you can provide it </w:t>
      </w:r>
      <w:proofErr w:type="gramStart"/>
      <w:r w:rsidRPr="006E4FF4">
        <w:rPr>
          <w:rFonts w:cs="Arial"/>
          <w:szCs w:val="22"/>
          <w:lang w:val="en-US" w:eastAsia="ja-JP"/>
        </w:rPr>
        <w:t>quickly</w:t>
      </w:r>
      <w:proofErr w:type="gramEnd"/>
      <w:r w:rsidRPr="006E4FF4">
        <w:rPr>
          <w:rFonts w:cs="Arial"/>
          <w:szCs w:val="22"/>
          <w:lang w:val="en-US" w:eastAsia="ja-JP"/>
        </w:rPr>
        <w:t xml:space="preserve"> do so. </w:t>
      </w:r>
    </w:p>
    <w:p w:rsidR="00F7323A" w:rsidRPr="006E4FF4" w:rsidRDefault="00F7323A" w:rsidP="00F7323A">
      <w:pPr>
        <w:numPr>
          <w:ilvl w:val="0"/>
          <w:numId w:val="18"/>
        </w:numPr>
        <w:spacing w:before="0" w:after="0" w:line="240" w:lineRule="auto"/>
        <w:rPr>
          <w:rFonts w:cs="Arial"/>
          <w:szCs w:val="22"/>
          <w:lang w:val="en-US" w:eastAsia="ja-JP"/>
        </w:rPr>
      </w:pPr>
      <w:r w:rsidRPr="006E4FF4">
        <w:rPr>
          <w:rFonts w:cs="Arial"/>
          <w:szCs w:val="22"/>
          <w:lang w:val="en-US" w:eastAsia="ja-JP"/>
        </w:rPr>
        <w:t xml:space="preserve">Put a note on file of what </w:t>
      </w:r>
      <w:proofErr w:type="gramStart"/>
      <w:r w:rsidRPr="006E4FF4">
        <w:rPr>
          <w:rFonts w:cs="Arial"/>
          <w:szCs w:val="22"/>
          <w:lang w:val="en-US" w:eastAsia="ja-JP"/>
        </w:rPr>
        <w:t>is provided</w:t>
      </w:r>
      <w:proofErr w:type="gramEnd"/>
      <w:r w:rsidRPr="006E4FF4">
        <w:rPr>
          <w:rFonts w:cs="Arial"/>
          <w:szCs w:val="22"/>
          <w:lang w:val="en-US" w:eastAsia="ja-JP"/>
        </w:rPr>
        <w:t>, to whom it went and when the request was completed.</w:t>
      </w:r>
    </w:p>
    <w:p w:rsidR="00F7323A" w:rsidRPr="006E4FF4" w:rsidRDefault="00F7323A" w:rsidP="00F7323A">
      <w:pPr>
        <w:spacing w:before="0" w:after="0"/>
        <w:rPr>
          <w:rFonts w:cs="Arial"/>
          <w:szCs w:val="22"/>
          <w:lang w:val="en-US" w:eastAsia="ja-JP"/>
        </w:rPr>
      </w:pPr>
      <w:r w:rsidRPr="006E4FF4">
        <w:rPr>
          <w:rFonts w:cs="Arial"/>
          <w:szCs w:val="22"/>
          <w:lang w:val="en-US" w:eastAsia="ja-JP"/>
        </w:rPr>
        <w:br/>
        <w:t>Complex requests:</w:t>
      </w:r>
    </w:p>
    <w:p w:rsidR="00F7323A" w:rsidRPr="006E4FF4" w:rsidRDefault="00F7323A" w:rsidP="00F7323A">
      <w:pPr>
        <w:spacing w:before="0" w:after="0"/>
        <w:rPr>
          <w:rFonts w:cs="Arial"/>
          <w:szCs w:val="22"/>
          <w:lang w:val="en-US" w:eastAsia="ja-JP"/>
        </w:rPr>
      </w:pPr>
    </w:p>
    <w:p w:rsidR="00F7323A" w:rsidRPr="006E4FF4" w:rsidRDefault="00F7323A" w:rsidP="00F7323A">
      <w:pPr>
        <w:numPr>
          <w:ilvl w:val="0"/>
          <w:numId w:val="18"/>
        </w:numPr>
        <w:spacing w:before="0" w:after="0" w:line="240" w:lineRule="auto"/>
        <w:rPr>
          <w:rFonts w:cs="Arial"/>
          <w:szCs w:val="22"/>
          <w:lang w:val="en-US" w:eastAsia="ja-JP"/>
        </w:rPr>
      </w:pPr>
      <w:r w:rsidRPr="006E4FF4">
        <w:rPr>
          <w:rFonts w:cs="Arial"/>
          <w:szCs w:val="22"/>
          <w:lang w:val="en-US" w:eastAsia="ja-JP"/>
        </w:rPr>
        <w:t xml:space="preserve">Make sure the request is in writing and send it to </w:t>
      </w:r>
      <w:r w:rsidR="00CF12CA">
        <w:rPr>
          <w:rFonts w:cs="Arial"/>
          <w:szCs w:val="22"/>
          <w:lang w:val="en-US" w:eastAsia="ja-JP"/>
        </w:rPr>
        <w:t>the</w:t>
      </w:r>
      <w:r w:rsidRPr="006E4FF4">
        <w:rPr>
          <w:rFonts w:cs="Arial"/>
          <w:szCs w:val="22"/>
          <w:lang w:val="en-US" w:eastAsia="ja-JP"/>
        </w:rPr>
        <w:t xml:space="preserve"> </w:t>
      </w:r>
      <w:r w:rsidR="00CF12CA">
        <w:rPr>
          <w:rFonts w:cs="Arial"/>
          <w:szCs w:val="22"/>
          <w:lang w:val="en-US" w:eastAsia="ja-JP"/>
        </w:rPr>
        <w:t>Business Manager.</w:t>
      </w:r>
    </w:p>
    <w:p w:rsidR="00F7323A" w:rsidRPr="006E4FF4" w:rsidRDefault="00F7323A" w:rsidP="00F7323A">
      <w:pPr>
        <w:numPr>
          <w:ilvl w:val="0"/>
          <w:numId w:val="18"/>
        </w:numPr>
        <w:spacing w:before="0" w:after="0" w:line="240" w:lineRule="auto"/>
        <w:rPr>
          <w:rFonts w:cs="Arial"/>
          <w:szCs w:val="22"/>
          <w:lang w:val="en-US" w:eastAsia="ja-JP"/>
        </w:rPr>
      </w:pPr>
      <w:r w:rsidRPr="006E4FF4">
        <w:rPr>
          <w:rFonts w:cs="Arial"/>
          <w:szCs w:val="22"/>
          <w:lang w:val="en-US" w:eastAsia="ja-JP"/>
        </w:rPr>
        <w:t xml:space="preserve">Most SAR requests are made by parents </w:t>
      </w:r>
    </w:p>
    <w:p w:rsidR="00F7323A" w:rsidRPr="006E4FF4" w:rsidRDefault="00F7323A" w:rsidP="00F7323A">
      <w:pPr>
        <w:numPr>
          <w:ilvl w:val="0"/>
          <w:numId w:val="18"/>
        </w:numPr>
        <w:spacing w:before="0" w:after="0" w:line="240" w:lineRule="auto"/>
        <w:rPr>
          <w:rFonts w:cs="Arial"/>
          <w:szCs w:val="22"/>
          <w:lang w:val="en-US" w:eastAsia="ja-JP"/>
        </w:rPr>
      </w:pPr>
      <w:r w:rsidRPr="006E4FF4">
        <w:rPr>
          <w:rFonts w:cs="Arial"/>
          <w:szCs w:val="22"/>
          <w:lang w:val="en-US" w:eastAsia="ja-JP"/>
        </w:rPr>
        <w:t xml:space="preserve">Alternatively you can ask the requestor to email </w:t>
      </w:r>
      <w:r w:rsidR="00CF12CA">
        <w:rPr>
          <w:rFonts w:cs="Arial"/>
          <w:szCs w:val="22"/>
          <w:lang w:val="en-US" w:eastAsia="ja-JP"/>
        </w:rPr>
        <w:t>the</w:t>
      </w:r>
      <w:r w:rsidRPr="006E4FF4">
        <w:rPr>
          <w:rFonts w:cs="Arial"/>
          <w:szCs w:val="22"/>
          <w:lang w:val="en-US" w:eastAsia="ja-JP"/>
        </w:rPr>
        <w:t xml:space="preserve"> </w:t>
      </w:r>
      <w:r w:rsidR="00CF12CA">
        <w:rPr>
          <w:rFonts w:cs="Arial"/>
          <w:szCs w:val="22"/>
          <w:lang w:val="en-US" w:eastAsia="ja-JP"/>
        </w:rPr>
        <w:t>Business Manager</w:t>
      </w:r>
      <w:r w:rsidRPr="006E4FF4">
        <w:rPr>
          <w:rFonts w:cs="Arial"/>
          <w:szCs w:val="22"/>
          <w:lang w:val="en-US" w:eastAsia="ja-JP"/>
        </w:rPr>
        <w:t xml:space="preserve"> or write to the school at:</w:t>
      </w:r>
    </w:p>
    <w:p w:rsidR="00F7323A" w:rsidRDefault="006C293B" w:rsidP="00F7323A">
      <w:pPr>
        <w:spacing w:before="0" w:after="0"/>
        <w:ind w:left="709"/>
        <w:rPr>
          <w:rFonts w:cs="Arial"/>
          <w:szCs w:val="22"/>
          <w:lang w:val="en-US" w:eastAsia="ja-JP"/>
        </w:rPr>
      </w:pPr>
      <w:r>
        <w:rPr>
          <w:rFonts w:cs="Arial"/>
          <w:szCs w:val="22"/>
          <w:lang w:val="en-US" w:eastAsia="ja-JP"/>
        </w:rPr>
        <w:t>Hitchmead Road,</w:t>
      </w:r>
    </w:p>
    <w:p w:rsidR="006C293B" w:rsidRDefault="006C293B" w:rsidP="00F7323A">
      <w:pPr>
        <w:spacing w:before="0" w:after="0"/>
        <w:ind w:left="709"/>
        <w:rPr>
          <w:rFonts w:cs="Arial"/>
          <w:szCs w:val="22"/>
          <w:lang w:val="en-US" w:eastAsia="ja-JP"/>
        </w:rPr>
      </w:pPr>
      <w:r>
        <w:rPr>
          <w:rFonts w:cs="Arial"/>
          <w:szCs w:val="22"/>
          <w:lang w:val="en-US" w:eastAsia="ja-JP"/>
        </w:rPr>
        <w:t xml:space="preserve">Biggleswade, </w:t>
      </w:r>
    </w:p>
    <w:p w:rsidR="006C293B" w:rsidRPr="006E4FF4" w:rsidRDefault="006C293B" w:rsidP="00F7323A">
      <w:pPr>
        <w:spacing w:before="0" w:after="0"/>
        <w:ind w:left="709"/>
        <w:rPr>
          <w:rFonts w:cs="Arial"/>
          <w:szCs w:val="22"/>
          <w:lang w:val="en-US" w:eastAsia="ja-JP"/>
        </w:rPr>
      </w:pPr>
      <w:r>
        <w:rPr>
          <w:rFonts w:cs="Arial"/>
          <w:szCs w:val="22"/>
          <w:lang w:val="en-US" w:eastAsia="ja-JP"/>
        </w:rPr>
        <w:t>SG18 0NL</w:t>
      </w:r>
    </w:p>
    <w:p w:rsidR="00F7323A" w:rsidRPr="006E4FF4" w:rsidRDefault="00F7323A" w:rsidP="00F7323A">
      <w:pPr>
        <w:spacing w:before="0" w:after="0"/>
        <w:ind w:left="709"/>
        <w:rPr>
          <w:rFonts w:cs="Arial"/>
          <w:szCs w:val="22"/>
          <w:lang w:val="en-US" w:eastAsia="ja-JP"/>
        </w:rPr>
      </w:pPr>
    </w:p>
    <w:p w:rsidR="00F7323A" w:rsidRDefault="00CF12CA" w:rsidP="00F7323A">
      <w:pPr>
        <w:numPr>
          <w:ilvl w:val="0"/>
          <w:numId w:val="18"/>
        </w:numPr>
        <w:spacing w:before="0" w:after="0" w:line="240" w:lineRule="auto"/>
        <w:rPr>
          <w:rFonts w:cs="Arial"/>
          <w:szCs w:val="22"/>
          <w:lang w:val="en-US" w:eastAsia="ja-JP"/>
        </w:rPr>
      </w:pPr>
      <w:r>
        <w:rPr>
          <w:rFonts w:cs="Arial"/>
          <w:szCs w:val="22"/>
          <w:lang w:val="en-US" w:eastAsia="ja-JP"/>
        </w:rPr>
        <w:t>The</w:t>
      </w:r>
      <w:r w:rsidR="00F7323A" w:rsidRPr="006E4FF4">
        <w:rPr>
          <w:rFonts w:cs="Arial"/>
          <w:szCs w:val="22"/>
          <w:lang w:val="en-US" w:eastAsia="ja-JP"/>
        </w:rPr>
        <w:t xml:space="preserve"> Business Manager will log the SAR and will allocate the case according to the subject matter</w:t>
      </w:r>
    </w:p>
    <w:p w:rsidR="000949C8" w:rsidRDefault="000949C8">
      <w:pPr>
        <w:rPr>
          <w:rFonts w:cs="Arial"/>
          <w:szCs w:val="22"/>
          <w:lang w:val="en-US" w:eastAsia="ja-JP"/>
        </w:rPr>
      </w:pPr>
      <w:r>
        <w:rPr>
          <w:rFonts w:cs="Arial"/>
          <w:szCs w:val="22"/>
          <w:lang w:val="en-US" w:eastAsia="ja-JP"/>
        </w:rPr>
        <w:br w:type="page"/>
      </w:r>
    </w:p>
    <w:p w:rsidR="00F7323A" w:rsidRPr="00A0338B" w:rsidRDefault="00F7323A" w:rsidP="00F7323A">
      <w:pPr>
        <w:pStyle w:val="Hding"/>
        <w:rPr>
          <w:lang w:val="en-US" w:eastAsia="ja-JP"/>
        </w:rPr>
      </w:pPr>
      <w:bookmarkStart w:id="14" w:name="_Toc507921571"/>
      <w:bookmarkStart w:id="15" w:name="_Toc514145335"/>
      <w:r w:rsidRPr="00A0338B">
        <w:rPr>
          <w:lang w:val="en-US" w:eastAsia="ja-JP"/>
        </w:rPr>
        <w:lastRenderedPageBreak/>
        <w:t xml:space="preserve">What should I do when I </w:t>
      </w:r>
      <w:proofErr w:type="gramStart"/>
      <w:r w:rsidRPr="00A0338B">
        <w:rPr>
          <w:lang w:val="en-US" w:eastAsia="ja-JP"/>
        </w:rPr>
        <w:t>am allocated</w:t>
      </w:r>
      <w:proofErr w:type="gramEnd"/>
      <w:r w:rsidRPr="00A0338B">
        <w:rPr>
          <w:lang w:val="en-US" w:eastAsia="ja-JP"/>
        </w:rPr>
        <w:t xml:space="preserve"> a SAR by the Business Manager?</w:t>
      </w:r>
      <w:bookmarkEnd w:id="14"/>
      <w:bookmarkEnd w:id="15"/>
    </w:p>
    <w:p w:rsidR="00654907" w:rsidRDefault="00654907" w:rsidP="00654907">
      <w:pPr>
        <w:spacing w:before="0" w:after="0" w:line="240" w:lineRule="auto"/>
        <w:ind w:left="720"/>
        <w:rPr>
          <w:rFonts w:cs="Arial"/>
          <w:szCs w:val="22"/>
          <w:lang w:val="en-US" w:eastAsia="ja-JP"/>
        </w:rPr>
      </w:pPr>
    </w:p>
    <w:p w:rsidR="00F7323A" w:rsidRPr="006E4FF4" w:rsidRDefault="00F7323A" w:rsidP="00F7323A">
      <w:pPr>
        <w:numPr>
          <w:ilvl w:val="0"/>
          <w:numId w:val="19"/>
        </w:numPr>
        <w:spacing w:before="0" w:after="0" w:line="240" w:lineRule="auto"/>
        <w:rPr>
          <w:rFonts w:cs="Arial"/>
          <w:szCs w:val="22"/>
          <w:lang w:val="en-US" w:eastAsia="ja-JP"/>
        </w:rPr>
      </w:pPr>
      <w:r w:rsidRPr="006E4FF4">
        <w:rPr>
          <w:rFonts w:cs="Arial"/>
          <w:szCs w:val="22"/>
          <w:lang w:val="en-US" w:eastAsia="ja-JP"/>
        </w:rPr>
        <w:t>Think about where the information requested will be kept</w:t>
      </w:r>
    </w:p>
    <w:p w:rsidR="00F7323A" w:rsidRPr="006E4FF4" w:rsidRDefault="00F7323A" w:rsidP="00F7323A">
      <w:pPr>
        <w:numPr>
          <w:ilvl w:val="0"/>
          <w:numId w:val="19"/>
        </w:numPr>
        <w:spacing w:before="0" w:after="0" w:line="240" w:lineRule="auto"/>
        <w:rPr>
          <w:rFonts w:cs="Arial"/>
          <w:szCs w:val="22"/>
          <w:lang w:val="en-US" w:eastAsia="ja-JP"/>
        </w:rPr>
      </w:pPr>
      <w:r w:rsidRPr="006E4FF4">
        <w:rPr>
          <w:rFonts w:cs="Arial"/>
          <w:szCs w:val="22"/>
          <w:lang w:val="en-US" w:eastAsia="ja-JP"/>
        </w:rPr>
        <w:t xml:space="preserve">What types of records you are looking for </w:t>
      </w:r>
    </w:p>
    <w:p w:rsidR="00F7323A" w:rsidRPr="006E4FF4" w:rsidRDefault="00F7323A" w:rsidP="00F7323A">
      <w:pPr>
        <w:numPr>
          <w:ilvl w:val="0"/>
          <w:numId w:val="19"/>
        </w:numPr>
        <w:spacing w:before="0" w:after="0" w:line="240" w:lineRule="auto"/>
        <w:rPr>
          <w:rFonts w:cs="Arial"/>
          <w:szCs w:val="22"/>
          <w:lang w:val="en-US" w:eastAsia="ja-JP"/>
        </w:rPr>
      </w:pPr>
      <w:r w:rsidRPr="006E4FF4">
        <w:rPr>
          <w:rFonts w:cs="Arial"/>
          <w:szCs w:val="22"/>
          <w:lang w:val="en-US" w:eastAsia="ja-JP"/>
        </w:rPr>
        <w:t>Do you need to do a search of emails?</w:t>
      </w:r>
    </w:p>
    <w:p w:rsidR="00F7323A" w:rsidRPr="006E4FF4" w:rsidRDefault="00F7323A" w:rsidP="00F7323A">
      <w:pPr>
        <w:numPr>
          <w:ilvl w:val="0"/>
          <w:numId w:val="19"/>
        </w:numPr>
        <w:spacing w:before="0" w:after="0" w:line="240" w:lineRule="auto"/>
        <w:rPr>
          <w:rFonts w:cs="Arial"/>
          <w:szCs w:val="22"/>
          <w:lang w:val="en-US" w:eastAsia="ja-JP"/>
        </w:rPr>
      </w:pPr>
      <w:r w:rsidRPr="006E4FF4">
        <w:rPr>
          <w:rFonts w:cs="Arial"/>
          <w:szCs w:val="22"/>
          <w:lang w:val="en-US" w:eastAsia="ja-JP"/>
        </w:rPr>
        <w:t>Are there any duplicate records?</w:t>
      </w:r>
    </w:p>
    <w:p w:rsidR="00F7323A" w:rsidRPr="006E4FF4" w:rsidRDefault="00F7323A" w:rsidP="00F7323A">
      <w:pPr>
        <w:numPr>
          <w:ilvl w:val="0"/>
          <w:numId w:val="19"/>
        </w:numPr>
        <w:spacing w:before="0" w:after="0" w:line="240" w:lineRule="auto"/>
        <w:rPr>
          <w:rFonts w:cs="Arial"/>
          <w:szCs w:val="22"/>
          <w:lang w:val="en-US" w:eastAsia="ja-JP"/>
        </w:rPr>
      </w:pPr>
      <w:r w:rsidRPr="006E4FF4">
        <w:rPr>
          <w:rFonts w:cs="Arial"/>
          <w:szCs w:val="22"/>
          <w:lang w:val="en-US" w:eastAsia="ja-JP"/>
        </w:rPr>
        <w:t>Allocate sufficient time to process the request</w:t>
      </w:r>
    </w:p>
    <w:p w:rsidR="00F7323A" w:rsidRPr="00654907" w:rsidRDefault="00654907" w:rsidP="00BF0C54">
      <w:pPr>
        <w:pStyle w:val="11Numberinglevel2"/>
        <w:numPr>
          <w:ilvl w:val="0"/>
          <w:numId w:val="0"/>
        </w:numPr>
      </w:pPr>
      <w:bookmarkStart w:id="16" w:name="_Toc507921572"/>
      <w:r>
        <w:t>5.1</w:t>
      </w:r>
      <w:r>
        <w:tab/>
        <w:t xml:space="preserve"> </w:t>
      </w:r>
      <w:r w:rsidR="00F7323A" w:rsidRPr="00654907">
        <w:t>How do I find the information requested</w:t>
      </w:r>
      <w:bookmarkEnd w:id="16"/>
      <w:r w:rsidR="00F7323A" w:rsidRPr="00654907">
        <w:t xml:space="preserve"> </w:t>
      </w:r>
    </w:p>
    <w:p w:rsidR="00F7323A" w:rsidRPr="006E4FF4" w:rsidRDefault="00F7323A" w:rsidP="00F7323A">
      <w:pPr>
        <w:spacing w:before="0" w:after="0"/>
        <w:rPr>
          <w:rFonts w:cs="Arial"/>
          <w:szCs w:val="22"/>
        </w:rPr>
      </w:pPr>
      <w:r w:rsidRPr="006E4FF4">
        <w:rPr>
          <w:rFonts w:cs="Arial"/>
          <w:szCs w:val="22"/>
        </w:rPr>
        <w:t>Requests for information are not limited to “live” files. SARs cover all</w:t>
      </w:r>
      <w:r w:rsidRPr="006E4FF4">
        <w:rPr>
          <w:rFonts w:cs="Arial"/>
          <w:b/>
          <w:szCs w:val="22"/>
        </w:rPr>
        <w:t xml:space="preserve"> </w:t>
      </w:r>
      <w:r w:rsidRPr="006E4FF4">
        <w:rPr>
          <w:rFonts w:cs="Arial"/>
          <w:szCs w:val="22"/>
        </w:rPr>
        <w:t>information held by the school regardless of where it is stored, closed,</w:t>
      </w:r>
      <w:r w:rsidRPr="006E4FF4">
        <w:rPr>
          <w:rFonts w:cs="Arial"/>
          <w:b/>
          <w:szCs w:val="22"/>
        </w:rPr>
        <w:t xml:space="preserve"> </w:t>
      </w:r>
      <w:r w:rsidRPr="006E4FF4">
        <w:rPr>
          <w:rFonts w:cs="Arial"/>
          <w:szCs w:val="22"/>
        </w:rPr>
        <w:t xml:space="preserve">archived. </w:t>
      </w:r>
    </w:p>
    <w:p w:rsidR="00F7323A" w:rsidRPr="006E4FF4" w:rsidRDefault="00F7323A" w:rsidP="00F7323A">
      <w:pPr>
        <w:spacing w:before="0" w:after="0"/>
        <w:rPr>
          <w:rFonts w:cs="Arial"/>
          <w:b/>
          <w:szCs w:val="22"/>
        </w:rPr>
      </w:pPr>
    </w:p>
    <w:p w:rsidR="00F7323A" w:rsidRPr="006E4FF4" w:rsidRDefault="00F7323A" w:rsidP="00F7323A">
      <w:pPr>
        <w:spacing w:before="0" w:after="0"/>
        <w:rPr>
          <w:rFonts w:cs="Arial"/>
          <w:szCs w:val="22"/>
        </w:rPr>
      </w:pPr>
      <w:r w:rsidRPr="006E4FF4">
        <w:rPr>
          <w:rFonts w:cs="Arial"/>
          <w:szCs w:val="22"/>
        </w:rPr>
        <w:t xml:space="preserve">You should first consider which system the information requested will be stored on. For </w:t>
      </w:r>
      <w:r w:rsidR="006C293B" w:rsidRPr="006E4FF4">
        <w:rPr>
          <w:rFonts w:cs="Arial"/>
          <w:szCs w:val="22"/>
        </w:rPr>
        <w:t>example,</w:t>
      </w:r>
      <w:r w:rsidRPr="006E4FF4">
        <w:rPr>
          <w:rFonts w:cs="Arial"/>
          <w:szCs w:val="22"/>
        </w:rPr>
        <w:t xml:space="preserve"> information about pupils </w:t>
      </w:r>
      <w:proofErr w:type="gramStart"/>
      <w:r w:rsidR="00581A44">
        <w:rPr>
          <w:rFonts w:cs="Arial"/>
          <w:szCs w:val="22"/>
        </w:rPr>
        <w:t>is</w:t>
      </w:r>
      <w:r w:rsidRPr="006E4FF4">
        <w:rPr>
          <w:rFonts w:cs="Arial"/>
          <w:szCs w:val="22"/>
        </w:rPr>
        <w:t xml:space="preserve"> kept</w:t>
      </w:r>
      <w:proofErr w:type="gramEnd"/>
      <w:r w:rsidRPr="006E4FF4">
        <w:rPr>
          <w:rFonts w:cs="Arial"/>
          <w:szCs w:val="22"/>
        </w:rPr>
        <w:t xml:space="preserve"> on</w:t>
      </w:r>
      <w:r w:rsidR="00581A44">
        <w:rPr>
          <w:rFonts w:cs="Arial"/>
          <w:szCs w:val="22"/>
        </w:rPr>
        <w:t xml:space="preserve"> RM </w:t>
      </w:r>
      <w:r w:rsidR="006C293B">
        <w:rPr>
          <w:rFonts w:cs="Arial"/>
          <w:szCs w:val="22"/>
        </w:rPr>
        <w:t>Integris</w:t>
      </w:r>
      <w:r w:rsidRPr="006E4FF4">
        <w:rPr>
          <w:rFonts w:cs="Arial"/>
          <w:szCs w:val="22"/>
        </w:rPr>
        <w:t xml:space="preserve">. Information about safeguarding </w:t>
      </w:r>
      <w:proofErr w:type="gramStart"/>
      <w:r w:rsidR="00581A44">
        <w:rPr>
          <w:rFonts w:cs="Arial"/>
          <w:szCs w:val="22"/>
        </w:rPr>
        <w:t>is</w:t>
      </w:r>
      <w:r w:rsidRPr="006E4FF4">
        <w:rPr>
          <w:rFonts w:cs="Arial"/>
          <w:szCs w:val="22"/>
        </w:rPr>
        <w:t xml:space="preserve"> kept</w:t>
      </w:r>
      <w:proofErr w:type="gramEnd"/>
      <w:r w:rsidRPr="006E4FF4">
        <w:rPr>
          <w:rFonts w:cs="Arial"/>
          <w:szCs w:val="22"/>
        </w:rPr>
        <w:t xml:space="preserve"> on CPOMS or paper files.</w:t>
      </w:r>
    </w:p>
    <w:p w:rsidR="00F7323A" w:rsidRPr="006E4FF4" w:rsidRDefault="00F7323A" w:rsidP="00F7323A">
      <w:pPr>
        <w:spacing w:before="0" w:after="0"/>
        <w:rPr>
          <w:rFonts w:cs="Arial"/>
          <w:szCs w:val="22"/>
        </w:rPr>
      </w:pPr>
    </w:p>
    <w:p w:rsidR="00F7323A" w:rsidRPr="006E4FF4" w:rsidRDefault="00F7323A" w:rsidP="00F7323A">
      <w:pPr>
        <w:spacing w:before="0" w:after="0"/>
        <w:rPr>
          <w:rFonts w:cs="Arial"/>
          <w:szCs w:val="22"/>
        </w:rPr>
      </w:pPr>
      <w:r w:rsidRPr="006E4FF4">
        <w:rPr>
          <w:rFonts w:cs="Arial"/>
          <w:szCs w:val="22"/>
        </w:rPr>
        <w:t xml:space="preserve">In some </w:t>
      </w:r>
      <w:proofErr w:type="gramStart"/>
      <w:r w:rsidRPr="006E4FF4">
        <w:rPr>
          <w:rFonts w:cs="Arial"/>
          <w:szCs w:val="22"/>
        </w:rPr>
        <w:t>cases</w:t>
      </w:r>
      <w:proofErr w:type="gramEnd"/>
      <w:r w:rsidRPr="006E4FF4">
        <w:rPr>
          <w:rFonts w:cs="Arial"/>
          <w:szCs w:val="22"/>
        </w:rPr>
        <w:t xml:space="preserve"> multiple systems will need to be checked in order that all relevant data is located.</w:t>
      </w:r>
    </w:p>
    <w:p w:rsidR="00F7323A" w:rsidRPr="006E4FF4" w:rsidRDefault="00F7323A" w:rsidP="00F7323A">
      <w:pPr>
        <w:spacing w:before="0" w:after="0"/>
        <w:rPr>
          <w:rFonts w:cs="Arial"/>
          <w:szCs w:val="22"/>
        </w:rPr>
      </w:pPr>
    </w:p>
    <w:p w:rsidR="00F7323A" w:rsidRPr="006E4FF4" w:rsidRDefault="00F7323A" w:rsidP="00F7323A">
      <w:pPr>
        <w:spacing w:before="0" w:after="0"/>
        <w:rPr>
          <w:rFonts w:cs="Arial"/>
          <w:szCs w:val="22"/>
        </w:rPr>
      </w:pPr>
      <w:r w:rsidRPr="006E4FF4">
        <w:rPr>
          <w:rFonts w:cs="Arial"/>
          <w:szCs w:val="22"/>
        </w:rPr>
        <w:t>You should do searches using the minimum data fields possible. For example, using common surnames such as Khan or Smith will result in a significant number of hits, many of which will be unrelated. However, using the DOB and Surname will limit the number of search results significantly.</w:t>
      </w:r>
    </w:p>
    <w:p w:rsidR="00F7323A" w:rsidRPr="006E4FF4" w:rsidRDefault="00F7323A" w:rsidP="00F7323A">
      <w:pPr>
        <w:spacing w:before="0" w:after="0"/>
        <w:rPr>
          <w:rFonts w:cs="Arial"/>
          <w:szCs w:val="22"/>
        </w:rPr>
      </w:pPr>
    </w:p>
    <w:p w:rsidR="00F7323A" w:rsidRPr="006E4FF4" w:rsidRDefault="00F7323A" w:rsidP="00F7323A">
      <w:pPr>
        <w:spacing w:before="0" w:after="0"/>
        <w:rPr>
          <w:rFonts w:cs="Arial"/>
          <w:szCs w:val="22"/>
        </w:rPr>
      </w:pPr>
      <w:r w:rsidRPr="006E4FF4">
        <w:rPr>
          <w:rFonts w:cs="Arial"/>
          <w:szCs w:val="22"/>
        </w:rPr>
        <w:t xml:space="preserve">It can often be helpful to speak to the requestor to find out if there is something specific that they are looking for. For </w:t>
      </w:r>
      <w:r w:rsidR="006C293B" w:rsidRPr="006E4FF4">
        <w:rPr>
          <w:rFonts w:cs="Arial"/>
          <w:szCs w:val="22"/>
        </w:rPr>
        <w:t>example,</w:t>
      </w:r>
      <w:r w:rsidRPr="006E4FF4">
        <w:rPr>
          <w:rFonts w:cs="Arial"/>
          <w:szCs w:val="22"/>
        </w:rPr>
        <w:t xml:space="preserve"> a requestor might ask for everything the school holds about them, but they may only want to see information relating to a specific issue such as a disciplinary matter. </w:t>
      </w:r>
    </w:p>
    <w:p w:rsidR="00F7323A" w:rsidRPr="006E4FF4" w:rsidRDefault="00F7323A" w:rsidP="00F7323A">
      <w:pPr>
        <w:spacing w:before="0" w:after="0"/>
        <w:rPr>
          <w:rFonts w:cs="Arial"/>
          <w:szCs w:val="22"/>
        </w:rPr>
      </w:pPr>
    </w:p>
    <w:p w:rsidR="00F7323A" w:rsidRPr="006E4FF4" w:rsidRDefault="00F7323A" w:rsidP="00F7323A">
      <w:pPr>
        <w:spacing w:before="0" w:after="0"/>
        <w:rPr>
          <w:rFonts w:cs="Arial"/>
          <w:szCs w:val="22"/>
        </w:rPr>
      </w:pPr>
      <w:r w:rsidRPr="006E4FF4">
        <w:rPr>
          <w:rFonts w:cs="Arial"/>
          <w:szCs w:val="22"/>
        </w:rPr>
        <w:t>Often limiting the search to a specific timeframe also helps reduce the search.</w:t>
      </w:r>
    </w:p>
    <w:p w:rsidR="00F7323A" w:rsidRPr="006E4FF4" w:rsidRDefault="00F7323A" w:rsidP="00F7323A">
      <w:pPr>
        <w:spacing w:before="0" w:after="0"/>
        <w:rPr>
          <w:rFonts w:cs="Arial"/>
          <w:szCs w:val="22"/>
        </w:rPr>
      </w:pPr>
    </w:p>
    <w:p w:rsidR="00F7323A" w:rsidRPr="006E4FF4" w:rsidRDefault="00F7323A" w:rsidP="00F7323A">
      <w:pPr>
        <w:spacing w:before="0" w:after="0"/>
        <w:rPr>
          <w:rFonts w:cs="Arial"/>
          <w:szCs w:val="22"/>
        </w:rPr>
      </w:pPr>
      <w:r w:rsidRPr="006E4FF4">
        <w:rPr>
          <w:rFonts w:cs="Arial"/>
          <w:szCs w:val="22"/>
        </w:rPr>
        <w:t xml:space="preserve">In most </w:t>
      </w:r>
      <w:proofErr w:type="gramStart"/>
      <w:r w:rsidRPr="006E4FF4">
        <w:rPr>
          <w:rFonts w:cs="Arial"/>
          <w:szCs w:val="22"/>
        </w:rPr>
        <w:t>cases</w:t>
      </w:r>
      <w:proofErr w:type="gramEnd"/>
      <w:r w:rsidRPr="006E4FF4">
        <w:rPr>
          <w:rFonts w:cs="Arial"/>
          <w:szCs w:val="22"/>
        </w:rPr>
        <w:t xml:space="preserve"> this information will need to be printed manually. </w:t>
      </w:r>
      <w:r w:rsidRPr="006E4FF4">
        <w:rPr>
          <w:rFonts w:cs="Arial"/>
          <w:b/>
          <w:szCs w:val="22"/>
        </w:rPr>
        <w:t>NOTE</w:t>
      </w:r>
      <w:r w:rsidRPr="006E4FF4">
        <w:rPr>
          <w:rFonts w:cs="Arial"/>
          <w:szCs w:val="22"/>
        </w:rPr>
        <w:t>: make sure that you print securely and lock away any documents printed until you have completed the entire search.</w:t>
      </w:r>
    </w:p>
    <w:p w:rsidR="00F7323A" w:rsidRPr="006E4FF4" w:rsidRDefault="00654907" w:rsidP="00BF0C54">
      <w:pPr>
        <w:pStyle w:val="11Numberinglevel2"/>
        <w:numPr>
          <w:ilvl w:val="1"/>
          <w:numId w:val="22"/>
        </w:numPr>
      </w:pPr>
      <w:bookmarkStart w:id="17" w:name="_Toc507921574"/>
      <w:r>
        <w:tab/>
      </w:r>
      <w:r w:rsidR="00F7323A" w:rsidRPr="006E4FF4">
        <w:t>Are there any duplicate records?</w:t>
      </w:r>
      <w:bookmarkEnd w:id="17"/>
    </w:p>
    <w:p w:rsidR="00F7323A" w:rsidRPr="006E4FF4" w:rsidRDefault="00F7323A" w:rsidP="00F7323A">
      <w:pPr>
        <w:rPr>
          <w:rFonts w:cs="Arial"/>
          <w:szCs w:val="22"/>
        </w:rPr>
      </w:pPr>
      <w:r w:rsidRPr="006E4FF4">
        <w:rPr>
          <w:rFonts w:cs="Arial"/>
          <w:szCs w:val="22"/>
        </w:rPr>
        <w:t>Once you are satisfied that you have access to all of the relevant documents related to the SAR request you should take time to remove all duplicates.</w:t>
      </w:r>
    </w:p>
    <w:p w:rsidR="00F7323A" w:rsidRPr="006E4FF4" w:rsidRDefault="00F7323A" w:rsidP="00F7323A">
      <w:pPr>
        <w:rPr>
          <w:rFonts w:cs="Arial"/>
          <w:szCs w:val="22"/>
        </w:rPr>
      </w:pPr>
      <w:r w:rsidRPr="006E4FF4">
        <w:rPr>
          <w:rFonts w:cs="Arial"/>
          <w:szCs w:val="22"/>
        </w:rPr>
        <w:t>Email trails forwarded numerous times can result in a number of duplicates. You should spend time to find the latest email and remove any others that contain the same information.</w:t>
      </w:r>
    </w:p>
    <w:p w:rsidR="00F7323A" w:rsidRDefault="00F7323A" w:rsidP="00F7323A">
      <w:pPr>
        <w:rPr>
          <w:rFonts w:cs="Arial"/>
          <w:szCs w:val="22"/>
        </w:rPr>
      </w:pPr>
      <w:r w:rsidRPr="006E4FF4">
        <w:rPr>
          <w:rFonts w:cs="Arial"/>
          <w:szCs w:val="22"/>
        </w:rPr>
        <w:t xml:space="preserve">A document </w:t>
      </w:r>
      <w:proofErr w:type="gramStart"/>
      <w:r w:rsidRPr="006E4FF4">
        <w:rPr>
          <w:rFonts w:cs="Arial"/>
          <w:szCs w:val="22"/>
        </w:rPr>
        <w:t>may have been attached to a number of emails and printed out numerous times</w:t>
      </w:r>
      <w:proofErr w:type="gramEnd"/>
      <w:r w:rsidR="006C293B">
        <w:rPr>
          <w:rFonts w:cs="Arial"/>
          <w:szCs w:val="22"/>
        </w:rPr>
        <w:t>.</w:t>
      </w:r>
      <w:r w:rsidRPr="006E4FF4">
        <w:rPr>
          <w:rFonts w:cs="Arial"/>
          <w:szCs w:val="22"/>
        </w:rPr>
        <w:t xml:space="preserve"> </w:t>
      </w:r>
      <w:r w:rsidR="006C293B">
        <w:rPr>
          <w:rFonts w:cs="Arial"/>
          <w:szCs w:val="22"/>
        </w:rPr>
        <w:t>Y</w:t>
      </w:r>
      <w:r w:rsidRPr="006E4FF4">
        <w:rPr>
          <w:rFonts w:cs="Arial"/>
          <w:szCs w:val="22"/>
        </w:rPr>
        <w:t xml:space="preserve">ou only need to print a document once. In addition, numerous drafts of the same document do not need to </w:t>
      </w:r>
      <w:proofErr w:type="gramStart"/>
      <w:r w:rsidRPr="006E4FF4">
        <w:rPr>
          <w:rFonts w:cs="Arial"/>
          <w:szCs w:val="22"/>
        </w:rPr>
        <w:t>be provided</w:t>
      </w:r>
      <w:proofErr w:type="gramEnd"/>
      <w:r w:rsidRPr="006E4FF4">
        <w:rPr>
          <w:rFonts w:cs="Arial"/>
          <w:szCs w:val="22"/>
        </w:rPr>
        <w:t>. The school is only required to provide the final draft of documents.</w:t>
      </w:r>
    </w:p>
    <w:p w:rsidR="00F7323A" w:rsidRPr="006E4FF4" w:rsidRDefault="00F7323A" w:rsidP="00F7323A">
      <w:pPr>
        <w:rPr>
          <w:rFonts w:cs="Arial"/>
          <w:szCs w:val="22"/>
        </w:rPr>
      </w:pPr>
      <w:r w:rsidRPr="006E4FF4">
        <w:rPr>
          <w:rFonts w:cs="Arial"/>
          <w:szCs w:val="22"/>
        </w:rPr>
        <w:t>Reducing the volume of documents in this way will reduce the risk of making a mistake and sending out incorrect information.</w:t>
      </w:r>
    </w:p>
    <w:p w:rsidR="00F7323A" w:rsidRPr="006E4FF4" w:rsidRDefault="00F7323A" w:rsidP="00F7323A">
      <w:pPr>
        <w:rPr>
          <w:rFonts w:cs="Arial"/>
          <w:szCs w:val="22"/>
        </w:rPr>
      </w:pPr>
      <w:r w:rsidRPr="006E4FF4">
        <w:rPr>
          <w:rFonts w:cs="Arial"/>
          <w:szCs w:val="22"/>
        </w:rPr>
        <w:t xml:space="preserve">It is good practice to produce a schedule of the documents which you have identified, which will help you organise how you work, keeping track of which documents need redacting, which are later considered not relevant  etc. It is also very helpful to refer to any complaint made about the handling of the request. </w:t>
      </w:r>
    </w:p>
    <w:p w:rsidR="00F7323A" w:rsidRPr="00A0338B" w:rsidRDefault="00F7323A" w:rsidP="00F7323A">
      <w:pPr>
        <w:pStyle w:val="Hding"/>
      </w:pPr>
      <w:bookmarkStart w:id="18" w:name="_Toc507921575"/>
      <w:bookmarkStart w:id="19" w:name="_Toc514145336"/>
      <w:r w:rsidRPr="00A0338B">
        <w:lastRenderedPageBreak/>
        <w:t xml:space="preserve">What information is exempt from disclosure and needs to </w:t>
      </w:r>
      <w:proofErr w:type="gramStart"/>
      <w:r w:rsidRPr="00A0338B">
        <w:t>be removed</w:t>
      </w:r>
      <w:proofErr w:type="gramEnd"/>
      <w:r w:rsidRPr="00A0338B">
        <w:t>?</w:t>
      </w:r>
      <w:bookmarkEnd w:id="18"/>
      <w:bookmarkEnd w:id="19"/>
    </w:p>
    <w:p w:rsidR="00F7323A" w:rsidRPr="006E4FF4" w:rsidRDefault="00654907" w:rsidP="00BF0C54">
      <w:pPr>
        <w:pStyle w:val="11Numberinglevel2"/>
        <w:numPr>
          <w:ilvl w:val="0"/>
          <w:numId w:val="0"/>
        </w:numPr>
      </w:pPr>
      <w:bookmarkStart w:id="20" w:name="_Toc507921576"/>
      <w:r>
        <w:t>6.1</w:t>
      </w:r>
      <w:r>
        <w:tab/>
      </w:r>
      <w:r w:rsidR="00F7323A" w:rsidRPr="006E4FF4">
        <w:t>Third party information</w:t>
      </w:r>
      <w:bookmarkEnd w:id="20"/>
    </w:p>
    <w:p w:rsidR="00F7323A" w:rsidRPr="006E4FF4" w:rsidRDefault="00F7323A" w:rsidP="00F7323A">
      <w:pPr>
        <w:rPr>
          <w:rFonts w:cs="Arial"/>
          <w:szCs w:val="22"/>
        </w:rPr>
      </w:pPr>
      <w:r w:rsidRPr="006E4FF4">
        <w:rPr>
          <w:rFonts w:cs="Arial"/>
          <w:szCs w:val="22"/>
        </w:rPr>
        <w:t xml:space="preserve">A data subject is not entitled to see what we hold on any third party, including a partner or relative, unless that third party has consented. You can contact the third party and ask for their consent, and should keep a record of their response. In some circumstances we can decide to disclose without that consent e.g. if it is not possible to obtain; the information is already known to the requester or there is no prospect of harm from the disclosure. Decisions need to be made on a </w:t>
      </w:r>
      <w:proofErr w:type="gramStart"/>
      <w:r w:rsidRPr="006E4FF4">
        <w:rPr>
          <w:rFonts w:cs="Arial"/>
          <w:szCs w:val="22"/>
        </w:rPr>
        <w:t>case by case</w:t>
      </w:r>
      <w:proofErr w:type="gramEnd"/>
      <w:r w:rsidRPr="006E4FF4">
        <w:rPr>
          <w:rFonts w:cs="Arial"/>
          <w:szCs w:val="22"/>
        </w:rPr>
        <w:t xml:space="preserve"> basis.  </w:t>
      </w:r>
    </w:p>
    <w:p w:rsidR="00F7323A" w:rsidRPr="006E4FF4" w:rsidRDefault="00F7323A" w:rsidP="00F7323A">
      <w:pPr>
        <w:rPr>
          <w:rFonts w:cs="Arial"/>
          <w:szCs w:val="22"/>
        </w:rPr>
      </w:pPr>
      <w:r w:rsidRPr="006E4FF4">
        <w:rPr>
          <w:rFonts w:cs="Arial"/>
          <w:szCs w:val="22"/>
        </w:rPr>
        <w:t xml:space="preserve">We cannot refuse to provide access to personal data about an individual simply because it </w:t>
      </w:r>
      <w:proofErr w:type="gramStart"/>
      <w:r w:rsidRPr="006E4FF4">
        <w:rPr>
          <w:rFonts w:cs="Arial"/>
          <w:szCs w:val="22"/>
        </w:rPr>
        <w:t>was obtained</w:t>
      </w:r>
      <w:proofErr w:type="gramEnd"/>
      <w:r w:rsidRPr="006E4FF4">
        <w:rPr>
          <w:rFonts w:cs="Arial"/>
          <w:szCs w:val="22"/>
        </w:rPr>
        <w:t xml:space="preserve"> from a third party. The rules about third-party information apply only to personal data that includes information about the individual who is the subject of the request and information about someone else. </w:t>
      </w:r>
    </w:p>
    <w:p w:rsidR="00F7323A" w:rsidRPr="006E4FF4" w:rsidRDefault="00654907" w:rsidP="00BF0C54">
      <w:pPr>
        <w:pStyle w:val="11Numberinglevel2"/>
        <w:numPr>
          <w:ilvl w:val="0"/>
          <w:numId w:val="0"/>
        </w:numPr>
      </w:pPr>
      <w:bookmarkStart w:id="21" w:name="_Toc507921577"/>
      <w:r>
        <w:t>6.2</w:t>
      </w:r>
      <w:r>
        <w:tab/>
      </w:r>
      <w:r w:rsidR="00F7323A" w:rsidRPr="006E4FF4">
        <w:t>Exemptions</w:t>
      </w:r>
      <w:bookmarkEnd w:id="21"/>
    </w:p>
    <w:p w:rsidR="00F7323A" w:rsidRPr="006E4FF4" w:rsidRDefault="00F7323A" w:rsidP="00F7323A">
      <w:pPr>
        <w:rPr>
          <w:rFonts w:cs="Arial"/>
          <w:szCs w:val="22"/>
        </w:rPr>
      </w:pPr>
      <w:r w:rsidRPr="006E4FF4">
        <w:rPr>
          <w:rFonts w:cs="Arial"/>
          <w:szCs w:val="22"/>
        </w:rPr>
        <w:t xml:space="preserve">For other personal data, there are exemptions provided by the Act (set out below) and you should familiarise yourself with these exemptions before you start to redact.  </w:t>
      </w:r>
    </w:p>
    <w:p w:rsidR="00F7323A" w:rsidRPr="006E4FF4" w:rsidRDefault="00F7323A" w:rsidP="00F7323A">
      <w:pPr>
        <w:rPr>
          <w:rFonts w:cs="Arial"/>
          <w:szCs w:val="22"/>
        </w:rPr>
      </w:pPr>
      <w:r w:rsidRPr="006E4FF4">
        <w:rPr>
          <w:rFonts w:cs="Arial"/>
          <w:szCs w:val="22"/>
        </w:rPr>
        <w:t xml:space="preserve">Not all of the exemptions apply in the same way, and you should look at each exemption carefully to see how it applies in a particular SAR. Some exemptions apply because of the nature of the personal data in question, </w:t>
      </w:r>
      <w:r w:rsidR="006C293B" w:rsidRPr="006E4FF4">
        <w:rPr>
          <w:rFonts w:cs="Arial"/>
          <w:szCs w:val="22"/>
        </w:rPr>
        <w:t>e.g.,</w:t>
      </w:r>
      <w:r w:rsidRPr="006E4FF4">
        <w:rPr>
          <w:rFonts w:cs="Arial"/>
          <w:szCs w:val="22"/>
        </w:rPr>
        <w:t xml:space="preserve"> information contained in a confidential reference. Others apply because disclosure of the information would be likely to prejudice a particular function of the school. The DPA does not explain what </w:t>
      </w:r>
      <w:proofErr w:type="gramStart"/>
      <w:r w:rsidRPr="006E4FF4">
        <w:rPr>
          <w:rFonts w:cs="Arial"/>
          <w:szCs w:val="22"/>
        </w:rPr>
        <w:t>is meant</w:t>
      </w:r>
      <w:proofErr w:type="gramEnd"/>
      <w:r w:rsidRPr="006E4FF4">
        <w:rPr>
          <w:rFonts w:cs="Arial"/>
          <w:szCs w:val="22"/>
        </w:rPr>
        <w:t xml:space="preserve"> by ‘likely to prejudice’. However, the Information Commissioner’s view is that it requires there to be a substantial chance (rather than a mere risk) that complying with the SAR would noticeably damage the discharge of the function concerned.</w:t>
      </w:r>
    </w:p>
    <w:p w:rsidR="00F7323A" w:rsidRPr="006E4FF4" w:rsidRDefault="00654907" w:rsidP="00BF0C54">
      <w:pPr>
        <w:pStyle w:val="11Numberinglevel2"/>
        <w:numPr>
          <w:ilvl w:val="0"/>
          <w:numId w:val="0"/>
        </w:numPr>
      </w:pPr>
      <w:bookmarkStart w:id="22" w:name="_Toc507921578"/>
      <w:r>
        <w:t>6.3</w:t>
      </w:r>
      <w:r>
        <w:tab/>
      </w:r>
      <w:r w:rsidR="00F7323A" w:rsidRPr="006E4FF4">
        <w:t>Confidentiality and references</w:t>
      </w:r>
      <w:bookmarkEnd w:id="22"/>
      <w:r w:rsidR="00F7323A" w:rsidRPr="006E4FF4">
        <w:t xml:space="preserve"> </w:t>
      </w:r>
    </w:p>
    <w:p w:rsidR="00F7323A" w:rsidRPr="006E4FF4" w:rsidRDefault="00F7323A" w:rsidP="00F7323A">
      <w:pPr>
        <w:rPr>
          <w:rFonts w:cs="Arial"/>
          <w:szCs w:val="22"/>
        </w:rPr>
      </w:pPr>
      <w:r w:rsidRPr="006E4FF4">
        <w:rPr>
          <w:rFonts w:cs="Arial"/>
          <w:szCs w:val="22"/>
        </w:rPr>
        <w:t xml:space="preserve">We do not need to disclose </w:t>
      </w:r>
      <w:r w:rsidR="00CF12CA" w:rsidRPr="006E4FF4">
        <w:rPr>
          <w:rFonts w:cs="Arial"/>
          <w:szCs w:val="22"/>
        </w:rPr>
        <w:t>information, which</w:t>
      </w:r>
      <w:r w:rsidRPr="006E4FF4">
        <w:rPr>
          <w:rFonts w:cs="Arial"/>
          <w:szCs w:val="22"/>
        </w:rPr>
        <w:t xml:space="preserve"> </w:t>
      </w:r>
      <w:proofErr w:type="gramStart"/>
      <w:r w:rsidRPr="006E4FF4">
        <w:rPr>
          <w:rFonts w:cs="Arial"/>
          <w:szCs w:val="22"/>
        </w:rPr>
        <w:t>was provided</w:t>
      </w:r>
      <w:proofErr w:type="gramEnd"/>
      <w:r w:rsidRPr="006E4FF4">
        <w:rPr>
          <w:rFonts w:cs="Arial"/>
          <w:szCs w:val="22"/>
        </w:rPr>
        <w:t xml:space="preserve"> to us in confidence. Whether or not information is confidential is subject to a number of defined conditions. The information needs to be confidential in nature and provided in </w:t>
      </w:r>
      <w:proofErr w:type="gramStart"/>
      <w:r w:rsidRPr="006E4FF4">
        <w:rPr>
          <w:rFonts w:cs="Arial"/>
          <w:szCs w:val="22"/>
        </w:rPr>
        <w:t>circumstances which</w:t>
      </w:r>
      <w:proofErr w:type="gramEnd"/>
      <w:r w:rsidRPr="006E4FF4">
        <w:rPr>
          <w:rFonts w:cs="Arial"/>
          <w:szCs w:val="22"/>
        </w:rPr>
        <w:t xml:space="preserve"> create an expectation of confidentiality. Something simply </w:t>
      </w:r>
      <w:proofErr w:type="gramStart"/>
      <w:r w:rsidRPr="006E4FF4">
        <w:rPr>
          <w:rFonts w:cs="Arial"/>
          <w:szCs w:val="22"/>
        </w:rPr>
        <w:t>being marked</w:t>
      </w:r>
      <w:proofErr w:type="gramEnd"/>
      <w:r w:rsidRPr="006E4FF4">
        <w:rPr>
          <w:rFonts w:cs="Arial"/>
          <w:szCs w:val="22"/>
        </w:rPr>
        <w:t xml:space="preserve"> “Confidential” does not make it confidential, if the information is not actually confidential in nature. </w:t>
      </w:r>
    </w:p>
    <w:p w:rsidR="00F7323A" w:rsidRPr="006E4FF4" w:rsidRDefault="00F7323A" w:rsidP="00F7323A">
      <w:pPr>
        <w:rPr>
          <w:rFonts w:cs="Arial"/>
          <w:szCs w:val="22"/>
        </w:rPr>
      </w:pPr>
      <w:r w:rsidRPr="006E4FF4">
        <w:rPr>
          <w:rFonts w:cs="Arial"/>
          <w:szCs w:val="22"/>
        </w:rPr>
        <w:t xml:space="preserve">If information is widely known elsewhere, it </w:t>
      </w:r>
      <w:proofErr w:type="gramStart"/>
      <w:r w:rsidRPr="006E4FF4">
        <w:rPr>
          <w:rFonts w:cs="Arial"/>
          <w:szCs w:val="22"/>
        </w:rPr>
        <w:t>cannot be considered</w:t>
      </w:r>
      <w:proofErr w:type="gramEnd"/>
      <w:r w:rsidRPr="006E4FF4">
        <w:rPr>
          <w:rFonts w:cs="Arial"/>
          <w:szCs w:val="22"/>
        </w:rPr>
        <w:t xml:space="preserve"> confidential, and the passage of time may mean that the confidential nature of information has elapsed. </w:t>
      </w:r>
    </w:p>
    <w:p w:rsidR="00F7323A" w:rsidRPr="006E4FF4" w:rsidRDefault="00F7323A" w:rsidP="00F7323A">
      <w:pPr>
        <w:rPr>
          <w:rFonts w:cs="Arial"/>
          <w:szCs w:val="22"/>
        </w:rPr>
      </w:pPr>
      <w:r w:rsidRPr="006E4FF4">
        <w:rPr>
          <w:rFonts w:cs="Arial"/>
          <w:szCs w:val="22"/>
        </w:rPr>
        <w:t>Where something may be confidential, we should ask the person whose information it is, whether they consent to the disclosure, and keep a record of that. In some circumstances, set out above, we may decide that we should disclose the information.</w:t>
      </w:r>
    </w:p>
    <w:p w:rsidR="00F7323A" w:rsidRPr="006E4FF4" w:rsidRDefault="00F7323A" w:rsidP="00F7323A">
      <w:pPr>
        <w:rPr>
          <w:rFonts w:cs="Arial"/>
          <w:szCs w:val="22"/>
        </w:rPr>
      </w:pPr>
      <w:r w:rsidRPr="006E4FF4">
        <w:rPr>
          <w:rFonts w:cs="Arial"/>
          <w:szCs w:val="22"/>
        </w:rPr>
        <w:t xml:space="preserve">You may give or receive references about an individual, e.g. in connection with their employment, or educational purposes. Such references </w:t>
      </w:r>
      <w:proofErr w:type="gramStart"/>
      <w:r w:rsidRPr="006E4FF4">
        <w:rPr>
          <w:rFonts w:cs="Arial"/>
          <w:szCs w:val="22"/>
        </w:rPr>
        <w:t>are often given</w:t>
      </w:r>
      <w:proofErr w:type="gramEnd"/>
      <w:r w:rsidRPr="006E4FF4">
        <w:rPr>
          <w:rFonts w:cs="Arial"/>
          <w:szCs w:val="22"/>
        </w:rPr>
        <w:t xml:space="preserve"> ‘in confidence’, but that fact alone does not mean the personal data included in the reference is exempt from subject access. </w:t>
      </w:r>
    </w:p>
    <w:p w:rsidR="00F7323A" w:rsidRPr="006E4FF4" w:rsidRDefault="00F7323A" w:rsidP="00F7323A">
      <w:pPr>
        <w:rPr>
          <w:rFonts w:cs="Arial"/>
          <w:szCs w:val="22"/>
        </w:rPr>
      </w:pPr>
      <w:r w:rsidRPr="006E4FF4">
        <w:rPr>
          <w:rFonts w:cs="Arial"/>
          <w:szCs w:val="22"/>
        </w:rPr>
        <w:t xml:space="preserve">The DPA distinguishes between references we give and references we receive. References we give are exempt from subject access if we give them in confidence and for the purposes of an individual’s education, training or employment or the provision of a service by them. </w:t>
      </w:r>
    </w:p>
    <w:p w:rsidR="00F7323A" w:rsidRPr="006E4FF4" w:rsidRDefault="00F7323A" w:rsidP="00F7323A">
      <w:pPr>
        <w:rPr>
          <w:rFonts w:cs="Arial"/>
          <w:szCs w:val="22"/>
        </w:rPr>
      </w:pPr>
      <w:proofErr w:type="gramStart"/>
      <w:r w:rsidRPr="006E4FF4">
        <w:rPr>
          <w:rFonts w:cs="Arial"/>
          <w:szCs w:val="22"/>
        </w:rPr>
        <w:t>There is no such exemption for references we receive from a third party.</w:t>
      </w:r>
      <w:proofErr w:type="gramEnd"/>
      <w:r w:rsidRPr="006E4FF4">
        <w:rPr>
          <w:rFonts w:cs="Arial"/>
          <w:szCs w:val="22"/>
        </w:rPr>
        <w:t xml:space="preserve"> If we receive a SAR relating to such a reference, we must apply the usual principles about subject access to decide whether to provide some or all of the information contained in the reference.</w:t>
      </w:r>
    </w:p>
    <w:p w:rsidR="00F7323A" w:rsidRPr="006E4FF4" w:rsidRDefault="00F7323A" w:rsidP="00F7323A">
      <w:pPr>
        <w:rPr>
          <w:rFonts w:cs="Arial"/>
          <w:szCs w:val="22"/>
        </w:rPr>
      </w:pPr>
      <w:r w:rsidRPr="006E4FF4">
        <w:rPr>
          <w:rFonts w:cs="Arial"/>
          <w:szCs w:val="22"/>
        </w:rPr>
        <w:lastRenderedPageBreak/>
        <w:t xml:space="preserve">If a question of confidentiality arises, you should contact the author to find out whether they object to the reference </w:t>
      </w:r>
      <w:proofErr w:type="gramStart"/>
      <w:r w:rsidRPr="006E4FF4">
        <w:rPr>
          <w:rFonts w:cs="Arial"/>
          <w:szCs w:val="22"/>
        </w:rPr>
        <w:t>being disclosed</w:t>
      </w:r>
      <w:proofErr w:type="gramEnd"/>
      <w:r w:rsidRPr="006E4FF4">
        <w:rPr>
          <w:rFonts w:cs="Arial"/>
          <w:szCs w:val="22"/>
        </w:rPr>
        <w:t xml:space="preserve"> and, if so, why. </w:t>
      </w:r>
    </w:p>
    <w:p w:rsidR="00654907" w:rsidRDefault="00F7323A" w:rsidP="00F7323A">
      <w:pPr>
        <w:rPr>
          <w:rFonts w:cs="Arial"/>
          <w:szCs w:val="22"/>
        </w:rPr>
      </w:pPr>
      <w:r w:rsidRPr="006E4FF4">
        <w:rPr>
          <w:rFonts w:cs="Arial"/>
          <w:szCs w:val="22"/>
        </w:rPr>
        <w:t xml:space="preserve">Even if the provider of a reference objects to its disclosure in response to a SAR, we will need to supply the personal data it contains to the requester if it is reasonable to do so in all the circumstances. You will therefore need to weigh the referee’s interest in having their comments treated confidentially against the requester’s interest in seeing what </w:t>
      </w:r>
      <w:proofErr w:type="gramStart"/>
      <w:r w:rsidRPr="006E4FF4">
        <w:rPr>
          <w:rFonts w:cs="Arial"/>
          <w:szCs w:val="22"/>
        </w:rPr>
        <w:t>has been said</w:t>
      </w:r>
      <w:proofErr w:type="gramEnd"/>
      <w:r w:rsidRPr="006E4FF4">
        <w:rPr>
          <w:rFonts w:cs="Arial"/>
          <w:szCs w:val="22"/>
        </w:rPr>
        <w:t xml:space="preserve"> about them. Relevant considerations are likely to include: </w:t>
      </w:r>
    </w:p>
    <w:p w:rsidR="00A122BC" w:rsidRDefault="00F7323A" w:rsidP="00A122BC">
      <w:pPr>
        <w:ind w:left="414" w:firstLine="720"/>
        <w:rPr>
          <w:rFonts w:cs="Arial"/>
          <w:szCs w:val="22"/>
        </w:rPr>
      </w:pPr>
      <w:r w:rsidRPr="006E4FF4">
        <w:rPr>
          <w:rFonts w:cs="Arial"/>
          <w:szCs w:val="22"/>
        </w:rPr>
        <w:t>•</w:t>
      </w:r>
      <w:r w:rsidRPr="006E4FF4">
        <w:rPr>
          <w:rFonts w:cs="Arial"/>
          <w:szCs w:val="22"/>
        </w:rPr>
        <w:tab/>
        <w:t>Any clearly stated assurance of confidentiality given to the referee</w:t>
      </w:r>
      <w:proofErr w:type="gramStart"/>
      <w:r w:rsidRPr="006E4FF4">
        <w:rPr>
          <w:rFonts w:cs="Arial"/>
          <w:szCs w:val="22"/>
        </w:rPr>
        <w:t>;</w:t>
      </w:r>
      <w:proofErr w:type="gramEnd"/>
      <w:r w:rsidRPr="006E4FF4">
        <w:rPr>
          <w:rFonts w:cs="Arial"/>
          <w:szCs w:val="22"/>
        </w:rPr>
        <w:t xml:space="preserve"> </w:t>
      </w:r>
    </w:p>
    <w:p w:rsidR="00A122BC" w:rsidRDefault="00F7323A" w:rsidP="00A122BC">
      <w:pPr>
        <w:ind w:left="414" w:firstLine="720"/>
        <w:rPr>
          <w:rFonts w:cs="Arial"/>
          <w:szCs w:val="22"/>
        </w:rPr>
      </w:pPr>
      <w:r w:rsidRPr="006E4FF4">
        <w:rPr>
          <w:rFonts w:cs="Arial"/>
          <w:szCs w:val="22"/>
        </w:rPr>
        <w:t>•</w:t>
      </w:r>
      <w:r w:rsidRPr="006E4FF4">
        <w:rPr>
          <w:rFonts w:cs="Arial"/>
          <w:szCs w:val="22"/>
        </w:rPr>
        <w:tab/>
        <w:t>Any reasons the referee gives for withholding consent</w:t>
      </w:r>
      <w:proofErr w:type="gramStart"/>
      <w:r w:rsidRPr="006E4FF4">
        <w:rPr>
          <w:rFonts w:cs="Arial"/>
          <w:szCs w:val="22"/>
        </w:rPr>
        <w:t>;</w:t>
      </w:r>
      <w:proofErr w:type="gramEnd"/>
    </w:p>
    <w:p w:rsidR="00F7323A" w:rsidRPr="006E4FF4" w:rsidRDefault="00F7323A" w:rsidP="00A122BC">
      <w:pPr>
        <w:ind w:left="414" w:firstLine="720"/>
        <w:rPr>
          <w:rFonts w:cs="Arial"/>
          <w:szCs w:val="22"/>
        </w:rPr>
      </w:pPr>
      <w:r w:rsidRPr="006E4FF4">
        <w:rPr>
          <w:rFonts w:cs="Arial"/>
          <w:szCs w:val="22"/>
        </w:rPr>
        <w:t>•</w:t>
      </w:r>
      <w:r w:rsidRPr="006E4FF4">
        <w:rPr>
          <w:rFonts w:cs="Arial"/>
          <w:szCs w:val="22"/>
        </w:rPr>
        <w:tab/>
        <w:t xml:space="preserve">The likely impact of the reference on the requester; </w:t>
      </w:r>
    </w:p>
    <w:p w:rsidR="00F7323A" w:rsidRPr="006E4FF4" w:rsidRDefault="00F7323A" w:rsidP="00F7323A">
      <w:pPr>
        <w:spacing w:before="0" w:after="0"/>
        <w:ind w:left="1418" w:hanging="284"/>
        <w:rPr>
          <w:rFonts w:cs="Arial"/>
          <w:szCs w:val="22"/>
        </w:rPr>
      </w:pPr>
      <w:r w:rsidRPr="006E4FF4">
        <w:rPr>
          <w:rFonts w:cs="Arial"/>
          <w:szCs w:val="22"/>
        </w:rPr>
        <w:t>•</w:t>
      </w:r>
      <w:r w:rsidRPr="006E4FF4">
        <w:rPr>
          <w:rFonts w:cs="Arial"/>
          <w:szCs w:val="22"/>
        </w:rPr>
        <w:tab/>
        <w:t xml:space="preserve">The requester’s interest in being able to satisfy himself or herself that the reference is truthful and accurate; and </w:t>
      </w:r>
    </w:p>
    <w:p w:rsidR="00F7323A" w:rsidRPr="006E4FF4" w:rsidRDefault="00F7323A" w:rsidP="00F7323A">
      <w:pPr>
        <w:spacing w:before="0" w:after="0"/>
        <w:ind w:left="1418" w:hanging="284"/>
        <w:rPr>
          <w:rFonts w:cs="Arial"/>
          <w:szCs w:val="22"/>
        </w:rPr>
      </w:pPr>
      <w:r w:rsidRPr="006E4FF4">
        <w:rPr>
          <w:rFonts w:cs="Arial"/>
          <w:szCs w:val="22"/>
        </w:rPr>
        <w:t>•</w:t>
      </w:r>
      <w:r w:rsidRPr="006E4FF4">
        <w:rPr>
          <w:rFonts w:cs="Arial"/>
          <w:szCs w:val="22"/>
        </w:rPr>
        <w:tab/>
        <w:t xml:space="preserve">Any risk that disclosure may pose to the referee. </w:t>
      </w:r>
    </w:p>
    <w:p w:rsidR="00F7323A" w:rsidRPr="006E4FF4" w:rsidRDefault="00654907" w:rsidP="00BF0C54">
      <w:pPr>
        <w:pStyle w:val="11Numberinglevel2"/>
        <w:numPr>
          <w:ilvl w:val="0"/>
          <w:numId w:val="0"/>
        </w:numPr>
        <w:ind w:left="709" w:hanging="709"/>
      </w:pPr>
      <w:bookmarkStart w:id="23" w:name="_Toc507921579"/>
      <w:r>
        <w:t>6.4</w:t>
      </w:r>
      <w:r>
        <w:tab/>
      </w:r>
      <w:r w:rsidR="00F7323A" w:rsidRPr="006E4FF4">
        <w:t>Publicly available information</w:t>
      </w:r>
      <w:bookmarkEnd w:id="23"/>
      <w:r w:rsidR="00F7323A" w:rsidRPr="006E4FF4">
        <w:t xml:space="preserve"> </w:t>
      </w:r>
    </w:p>
    <w:p w:rsidR="00F7323A" w:rsidRPr="006E4FF4" w:rsidRDefault="00F7323A" w:rsidP="00F7323A">
      <w:pPr>
        <w:rPr>
          <w:rFonts w:cs="Arial"/>
          <w:szCs w:val="22"/>
        </w:rPr>
      </w:pPr>
      <w:r w:rsidRPr="006E4FF4">
        <w:rPr>
          <w:rFonts w:cs="Arial"/>
          <w:szCs w:val="22"/>
        </w:rPr>
        <w:t xml:space="preserve">If the law says we must make information available to the public, any personal data included in it is exempt from the right of subject access. </w:t>
      </w:r>
    </w:p>
    <w:p w:rsidR="00F7323A" w:rsidRPr="006E4FF4" w:rsidRDefault="00F7323A" w:rsidP="00F7323A">
      <w:pPr>
        <w:rPr>
          <w:rFonts w:cs="Arial"/>
          <w:szCs w:val="22"/>
        </w:rPr>
      </w:pPr>
      <w:r w:rsidRPr="006E4FF4">
        <w:rPr>
          <w:rFonts w:cs="Arial"/>
          <w:szCs w:val="22"/>
        </w:rPr>
        <w:t>The exemption only applies to the information that we are required to publish. If it holds additional personal data about an individual, the additional data is not exempt from the right of subject access.</w:t>
      </w:r>
    </w:p>
    <w:p w:rsidR="00F7323A" w:rsidRPr="006E4FF4" w:rsidRDefault="00654907" w:rsidP="00BF0C54">
      <w:pPr>
        <w:pStyle w:val="11Numberinglevel2"/>
        <w:numPr>
          <w:ilvl w:val="0"/>
          <w:numId w:val="0"/>
        </w:numPr>
      </w:pPr>
      <w:bookmarkStart w:id="24" w:name="_Toc507921580"/>
      <w:r>
        <w:t>6.5</w:t>
      </w:r>
      <w:r>
        <w:tab/>
      </w:r>
      <w:r w:rsidR="00F7323A" w:rsidRPr="006E4FF4">
        <w:t>Crime and taxation</w:t>
      </w:r>
      <w:bookmarkEnd w:id="24"/>
      <w:r w:rsidR="00F7323A" w:rsidRPr="006E4FF4">
        <w:t xml:space="preserve"> </w:t>
      </w:r>
    </w:p>
    <w:p w:rsidR="00F7323A" w:rsidRPr="006E4FF4" w:rsidRDefault="00F7323A" w:rsidP="00F7323A">
      <w:pPr>
        <w:rPr>
          <w:rFonts w:cs="Arial"/>
          <w:szCs w:val="22"/>
        </w:rPr>
      </w:pPr>
      <w:r w:rsidRPr="006E4FF4">
        <w:rPr>
          <w:rFonts w:cs="Arial"/>
          <w:szCs w:val="22"/>
        </w:rPr>
        <w:t xml:space="preserve">Personal data processed for certain purposes related to crime and taxation is exempt from the right of subject access. These purposes are: </w:t>
      </w:r>
    </w:p>
    <w:p w:rsidR="00F7323A" w:rsidRPr="006E4FF4" w:rsidRDefault="00F7323A" w:rsidP="00F7323A">
      <w:pPr>
        <w:spacing w:before="0" w:after="0"/>
        <w:ind w:left="1134"/>
        <w:rPr>
          <w:rFonts w:cs="Arial"/>
          <w:szCs w:val="22"/>
        </w:rPr>
      </w:pPr>
      <w:r w:rsidRPr="006E4FF4">
        <w:rPr>
          <w:rFonts w:cs="Arial"/>
          <w:szCs w:val="22"/>
        </w:rPr>
        <w:t>•</w:t>
      </w:r>
      <w:r w:rsidRPr="006E4FF4">
        <w:rPr>
          <w:rFonts w:cs="Arial"/>
          <w:szCs w:val="22"/>
        </w:rPr>
        <w:tab/>
        <w:t xml:space="preserve">The prevention or detection of crime; </w:t>
      </w:r>
    </w:p>
    <w:p w:rsidR="00F7323A" w:rsidRPr="006E4FF4" w:rsidRDefault="00F7323A" w:rsidP="00F7323A">
      <w:pPr>
        <w:spacing w:before="0" w:after="0"/>
        <w:ind w:left="1134"/>
        <w:rPr>
          <w:rFonts w:cs="Arial"/>
          <w:szCs w:val="22"/>
        </w:rPr>
      </w:pPr>
      <w:r w:rsidRPr="006E4FF4">
        <w:rPr>
          <w:rFonts w:cs="Arial"/>
          <w:szCs w:val="22"/>
        </w:rPr>
        <w:t>•</w:t>
      </w:r>
      <w:r w:rsidRPr="006E4FF4">
        <w:rPr>
          <w:rFonts w:cs="Arial"/>
          <w:szCs w:val="22"/>
        </w:rPr>
        <w:tab/>
        <w:t xml:space="preserve">The capture or prosecution of offenders; and </w:t>
      </w:r>
    </w:p>
    <w:p w:rsidR="00F7323A" w:rsidRPr="006E4FF4" w:rsidRDefault="00F7323A" w:rsidP="00F7323A">
      <w:pPr>
        <w:spacing w:before="0" w:after="0"/>
        <w:ind w:left="1134"/>
        <w:rPr>
          <w:rFonts w:cs="Arial"/>
          <w:szCs w:val="22"/>
        </w:rPr>
      </w:pPr>
      <w:r w:rsidRPr="006E4FF4">
        <w:rPr>
          <w:rFonts w:cs="Arial"/>
          <w:szCs w:val="22"/>
        </w:rPr>
        <w:t>•</w:t>
      </w:r>
      <w:r w:rsidRPr="006E4FF4">
        <w:rPr>
          <w:rFonts w:cs="Arial"/>
          <w:szCs w:val="22"/>
        </w:rPr>
        <w:tab/>
        <w:t xml:space="preserve">The assessment or collection of tax or duty. </w:t>
      </w:r>
    </w:p>
    <w:p w:rsidR="00F7323A" w:rsidRPr="006E4FF4" w:rsidRDefault="00F7323A" w:rsidP="00F7323A">
      <w:pPr>
        <w:rPr>
          <w:rFonts w:cs="Arial"/>
          <w:szCs w:val="22"/>
        </w:rPr>
      </w:pPr>
      <w:r w:rsidRPr="006E4FF4">
        <w:rPr>
          <w:rFonts w:cs="Arial"/>
          <w:szCs w:val="22"/>
        </w:rPr>
        <w:t xml:space="preserve">However, the exemption applies only to the extent that complying with a SAR would be likely to prejudice the crime and taxation purposes set out above. You need to judge </w:t>
      </w:r>
      <w:proofErr w:type="gramStart"/>
      <w:r w:rsidRPr="006E4FF4">
        <w:rPr>
          <w:rFonts w:cs="Arial"/>
          <w:szCs w:val="22"/>
        </w:rPr>
        <w:t>whether or not</w:t>
      </w:r>
      <w:proofErr w:type="gramEnd"/>
      <w:r w:rsidRPr="006E4FF4">
        <w:rPr>
          <w:rFonts w:cs="Arial"/>
          <w:szCs w:val="22"/>
        </w:rPr>
        <w:t xml:space="preserve"> this is likely in each case – you should not use the exemption to justify denying subject access to whole categories of personal data if for some individuals the crime and taxation purposes are unlikely to be prejudiced. </w:t>
      </w:r>
    </w:p>
    <w:p w:rsidR="00F7323A" w:rsidRPr="006E4FF4" w:rsidRDefault="00F7323A" w:rsidP="00F7323A">
      <w:pPr>
        <w:rPr>
          <w:rFonts w:cs="Arial"/>
          <w:szCs w:val="22"/>
        </w:rPr>
      </w:pPr>
      <w:r w:rsidRPr="006E4FF4">
        <w:rPr>
          <w:rFonts w:cs="Arial"/>
          <w:szCs w:val="22"/>
        </w:rPr>
        <w:t xml:space="preserve">Personal data that is (1) processed </w:t>
      </w:r>
      <w:proofErr w:type="gramStart"/>
      <w:r w:rsidRPr="006E4FF4">
        <w:rPr>
          <w:rFonts w:cs="Arial"/>
          <w:szCs w:val="22"/>
        </w:rPr>
        <w:t>for the purpose of</w:t>
      </w:r>
      <w:proofErr w:type="gramEnd"/>
      <w:r w:rsidRPr="006E4FF4">
        <w:rPr>
          <w:rFonts w:cs="Arial"/>
          <w:szCs w:val="22"/>
        </w:rPr>
        <w:t xml:space="preserve"> discharging statutory functions and (2) consists of information obtained for this purpose from someone who held it for any of the crime and taxation purposes described above is also exempt from the right of subject access. </w:t>
      </w:r>
    </w:p>
    <w:p w:rsidR="00F7323A" w:rsidRPr="006E4FF4" w:rsidRDefault="00F7323A" w:rsidP="00F7323A">
      <w:pPr>
        <w:rPr>
          <w:rFonts w:cs="Arial"/>
          <w:szCs w:val="22"/>
        </w:rPr>
      </w:pPr>
      <w:r w:rsidRPr="006E4FF4">
        <w:rPr>
          <w:rFonts w:cs="Arial"/>
          <w:szCs w:val="22"/>
        </w:rPr>
        <w:t xml:space="preserve">This is only to the extent that providing subject access to the personal data would be likely to prejudice any of the crime and taxation purposes. This prevents the right applying to personal data that </w:t>
      </w:r>
      <w:proofErr w:type="gramStart"/>
      <w:r w:rsidRPr="006E4FF4">
        <w:rPr>
          <w:rFonts w:cs="Arial"/>
          <w:szCs w:val="22"/>
        </w:rPr>
        <w:t>is passed</w:t>
      </w:r>
      <w:proofErr w:type="gramEnd"/>
      <w:r w:rsidRPr="006E4FF4">
        <w:rPr>
          <w:rFonts w:cs="Arial"/>
          <w:szCs w:val="22"/>
        </w:rPr>
        <w:t xml:space="preserve"> to statutory review bodies by law-enforcement agencies, and ensures that the exemption is not lost when the information is disclosed during a review. </w:t>
      </w:r>
    </w:p>
    <w:p w:rsidR="00F7323A" w:rsidRPr="006E4FF4" w:rsidRDefault="00F7323A" w:rsidP="00F7323A">
      <w:pPr>
        <w:rPr>
          <w:rFonts w:cs="Arial"/>
          <w:szCs w:val="22"/>
        </w:rPr>
      </w:pPr>
      <w:r w:rsidRPr="006E4FF4">
        <w:rPr>
          <w:rFonts w:cs="Arial"/>
          <w:szCs w:val="22"/>
        </w:rPr>
        <w:t xml:space="preserve">Section 29(4) of the DPA provides an additional exemption from the right of subject access that </w:t>
      </w:r>
      <w:proofErr w:type="gramStart"/>
      <w:r w:rsidRPr="006E4FF4">
        <w:rPr>
          <w:rFonts w:cs="Arial"/>
          <w:szCs w:val="22"/>
        </w:rPr>
        <w:t>is designed</w:t>
      </w:r>
      <w:proofErr w:type="gramEnd"/>
      <w:r w:rsidRPr="006E4FF4">
        <w:rPr>
          <w:rFonts w:cs="Arial"/>
          <w:szCs w:val="22"/>
        </w:rPr>
        <w:t xml:space="preserve"> to prevent the right being used to force relevant authorities to disclose information about the operation of crime detection and anti-fraud systems, where such disclosure may undermine the operation of those systems. </w:t>
      </w:r>
    </w:p>
    <w:p w:rsidR="00F7323A" w:rsidRPr="006E4FF4" w:rsidRDefault="00654907" w:rsidP="00BF0C54">
      <w:pPr>
        <w:pStyle w:val="11Numberinglevel2"/>
        <w:numPr>
          <w:ilvl w:val="0"/>
          <w:numId w:val="0"/>
        </w:numPr>
      </w:pPr>
      <w:bookmarkStart w:id="25" w:name="_Toc507921581"/>
      <w:r>
        <w:lastRenderedPageBreak/>
        <w:t>6.6</w:t>
      </w:r>
      <w:r>
        <w:tab/>
      </w:r>
      <w:r w:rsidR="00F7323A" w:rsidRPr="006E4FF4">
        <w:t>Management information</w:t>
      </w:r>
      <w:bookmarkEnd w:id="25"/>
      <w:r w:rsidR="00F7323A" w:rsidRPr="006E4FF4">
        <w:t xml:space="preserve"> </w:t>
      </w:r>
    </w:p>
    <w:p w:rsidR="00654907" w:rsidRDefault="00F7323A" w:rsidP="00F7323A">
      <w:pPr>
        <w:rPr>
          <w:rFonts w:cs="Arial"/>
          <w:szCs w:val="22"/>
        </w:rPr>
      </w:pPr>
      <w:r w:rsidRPr="006E4FF4">
        <w:rPr>
          <w:rFonts w:cs="Arial"/>
          <w:szCs w:val="22"/>
        </w:rPr>
        <w:t xml:space="preserve">A further exemption applies to personal data that </w:t>
      </w:r>
      <w:proofErr w:type="gramStart"/>
      <w:r w:rsidRPr="006E4FF4">
        <w:rPr>
          <w:rFonts w:cs="Arial"/>
          <w:szCs w:val="22"/>
        </w:rPr>
        <w:t>is processed</w:t>
      </w:r>
      <w:proofErr w:type="gramEnd"/>
      <w:r w:rsidRPr="006E4FF4">
        <w:rPr>
          <w:rFonts w:cs="Arial"/>
          <w:szCs w:val="22"/>
        </w:rPr>
        <w:t xml:space="preserve"> for management forecasting or management planning. Such data is exempt from the right of subject access to the extent that complying with a SAR would be likely to prejudice the business or other activity of the organisation.</w:t>
      </w:r>
    </w:p>
    <w:p w:rsidR="00F7323A" w:rsidRPr="006E4FF4" w:rsidRDefault="00654907" w:rsidP="00137A13">
      <w:pPr>
        <w:rPr>
          <w:rFonts w:cs="Arial"/>
          <w:szCs w:val="22"/>
        </w:rPr>
      </w:pPr>
      <w:bookmarkStart w:id="26" w:name="_Toc507921582"/>
      <w:r w:rsidRPr="00137A13">
        <w:rPr>
          <w:rFonts w:ascii="Arial" w:hAnsi="Arial" w:cs="Arial"/>
          <w:sz w:val="22"/>
          <w:szCs w:val="22"/>
        </w:rPr>
        <w:t>6.7</w:t>
      </w:r>
      <w:r>
        <w:rPr>
          <w:rFonts w:cs="Arial"/>
          <w:szCs w:val="22"/>
        </w:rPr>
        <w:tab/>
      </w:r>
      <w:r w:rsidR="00F7323A" w:rsidRPr="00137A13">
        <w:rPr>
          <w:rStyle w:val="11Numberinglevel2Char"/>
        </w:rPr>
        <w:t>Negotiations with the requester</w:t>
      </w:r>
      <w:bookmarkEnd w:id="26"/>
      <w:r w:rsidR="00F7323A" w:rsidRPr="006E4FF4">
        <w:rPr>
          <w:rFonts w:cs="Arial"/>
          <w:szCs w:val="22"/>
        </w:rPr>
        <w:t xml:space="preserve"> </w:t>
      </w:r>
    </w:p>
    <w:p w:rsidR="00F7323A" w:rsidRPr="006E4FF4" w:rsidRDefault="00F7323A" w:rsidP="00F7323A">
      <w:pPr>
        <w:rPr>
          <w:rFonts w:cs="Arial"/>
          <w:szCs w:val="22"/>
        </w:rPr>
      </w:pPr>
      <w:r w:rsidRPr="006E4FF4">
        <w:rPr>
          <w:rFonts w:cs="Arial"/>
          <w:szCs w:val="22"/>
        </w:rPr>
        <w:t>Personal data that consists of a record of your intentions in negotiations with an individual is exempt from the right of subject access to the extent that complying with a SAR would be likely to prejudice the negotiations.</w:t>
      </w:r>
    </w:p>
    <w:p w:rsidR="00F7323A" w:rsidRPr="006E4FF4" w:rsidRDefault="00654907" w:rsidP="00BF0C54">
      <w:pPr>
        <w:pStyle w:val="11Numberinglevel2"/>
        <w:numPr>
          <w:ilvl w:val="0"/>
          <w:numId w:val="0"/>
        </w:numPr>
      </w:pPr>
      <w:bookmarkStart w:id="27" w:name="_Toc507921583"/>
      <w:r>
        <w:t>6.8</w:t>
      </w:r>
      <w:r>
        <w:tab/>
      </w:r>
      <w:r w:rsidR="00F7323A" w:rsidRPr="006E4FF4">
        <w:t>Regulatory activity</w:t>
      </w:r>
      <w:bookmarkEnd w:id="27"/>
      <w:r w:rsidR="00F7323A" w:rsidRPr="006E4FF4">
        <w:t xml:space="preserve"> </w:t>
      </w:r>
    </w:p>
    <w:p w:rsidR="00F7323A" w:rsidRPr="006E4FF4" w:rsidRDefault="00F7323A" w:rsidP="00F7323A">
      <w:pPr>
        <w:rPr>
          <w:rFonts w:cs="Arial"/>
          <w:szCs w:val="22"/>
        </w:rPr>
      </w:pPr>
      <w:r w:rsidRPr="006E4FF4">
        <w:rPr>
          <w:rFonts w:cs="Arial"/>
          <w:szCs w:val="22"/>
        </w:rPr>
        <w:t xml:space="preserve">This exemption only applies to personal data processed for core regulatory activities, and then only to the extent that granting subject access to the information concerned would be likely to prejudice the proper discharge of those functions. </w:t>
      </w:r>
    </w:p>
    <w:p w:rsidR="00F7323A" w:rsidRPr="006E4FF4" w:rsidRDefault="00654907" w:rsidP="00BF0C54">
      <w:pPr>
        <w:pStyle w:val="11Numberinglevel2"/>
        <w:numPr>
          <w:ilvl w:val="0"/>
          <w:numId w:val="0"/>
        </w:numPr>
        <w:ind w:left="709" w:hanging="709"/>
      </w:pPr>
      <w:bookmarkStart w:id="28" w:name="_Toc507921586"/>
      <w:r>
        <w:t>6.9</w:t>
      </w:r>
      <w:r>
        <w:tab/>
      </w:r>
      <w:r w:rsidR="00F7323A" w:rsidRPr="006E4FF4">
        <w:t>Health and education records</w:t>
      </w:r>
      <w:bookmarkEnd w:id="28"/>
      <w:r w:rsidR="00F7323A" w:rsidRPr="006E4FF4">
        <w:t xml:space="preserve"> </w:t>
      </w:r>
    </w:p>
    <w:p w:rsidR="00F7323A" w:rsidRPr="006E4FF4" w:rsidRDefault="00F7323A" w:rsidP="00F7323A">
      <w:pPr>
        <w:rPr>
          <w:rFonts w:cs="Arial"/>
          <w:szCs w:val="22"/>
        </w:rPr>
      </w:pPr>
      <w:r w:rsidRPr="006E4FF4">
        <w:rPr>
          <w:rFonts w:cs="Arial"/>
          <w:szCs w:val="22"/>
        </w:rPr>
        <w:t xml:space="preserve">The exemptions that may apply when a SAR relates to personal data included in health and education records </w:t>
      </w:r>
      <w:proofErr w:type="gramStart"/>
      <w:r w:rsidRPr="006E4FF4">
        <w:rPr>
          <w:rFonts w:cs="Arial"/>
          <w:szCs w:val="22"/>
        </w:rPr>
        <w:t>are explained</w:t>
      </w:r>
      <w:proofErr w:type="gramEnd"/>
      <w:r w:rsidRPr="006E4FF4">
        <w:rPr>
          <w:rFonts w:cs="Arial"/>
          <w:szCs w:val="22"/>
        </w:rPr>
        <w:t xml:space="preserve"> in chapter 10 of the code. </w:t>
      </w:r>
      <w:r w:rsidRPr="006E4FF4">
        <w:rPr>
          <w:rFonts w:cs="Arial"/>
          <w:szCs w:val="22"/>
        </w:rPr>
        <w:br/>
      </w:r>
      <w:r w:rsidRPr="006E4FF4">
        <w:rPr>
          <w:rFonts w:cs="Arial"/>
          <w:szCs w:val="22"/>
        </w:rPr>
        <w:br/>
        <w:t>‘The Secretary of State may, by order, exempt certain personal data required for the purposes of health, education, social work from the subject information provisions or modify those provisions in relation to this personal data. [</w:t>
      </w:r>
      <w:proofErr w:type="gramStart"/>
      <w:r w:rsidRPr="006E4FF4">
        <w:rPr>
          <w:rFonts w:cs="Arial"/>
          <w:szCs w:val="22"/>
        </w:rPr>
        <w:t>note</w:t>
      </w:r>
      <w:proofErr w:type="gramEnd"/>
      <w:r w:rsidRPr="006E4FF4">
        <w:rPr>
          <w:rFonts w:cs="Arial"/>
          <w:szCs w:val="22"/>
        </w:rPr>
        <w:t xml:space="preserve"> 10]’</w:t>
      </w:r>
    </w:p>
    <w:p w:rsidR="00F7323A" w:rsidRPr="006E4FF4" w:rsidRDefault="00F7323A" w:rsidP="00BF0C54">
      <w:pPr>
        <w:pStyle w:val="11Numberinglevel2"/>
        <w:numPr>
          <w:ilvl w:val="0"/>
          <w:numId w:val="0"/>
        </w:numPr>
        <w:ind w:left="709" w:hanging="709"/>
      </w:pPr>
      <w:bookmarkStart w:id="29" w:name="_Toc507921588"/>
      <w:r w:rsidRPr="006E4FF4">
        <w:t>6.10     Other exemptions</w:t>
      </w:r>
      <w:bookmarkEnd w:id="29"/>
      <w:r w:rsidRPr="006E4FF4">
        <w:t xml:space="preserve"> </w:t>
      </w:r>
    </w:p>
    <w:p w:rsidR="00F7323A" w:rsidRPr="006E4FF4" w:rsidRDefault="00F7323A" w:rsidP="00F7323A">
      <w:pPr>
        <w:rPr>
          <w:rFonts w:cs="Arial"/>
          <w:szCs w:val="22"/>
        </w:rPr>
      </w:pPr>
      <w:r w:rsidRPr="006E4FF4">
        <w:rPr>
          <w:rFonts w:cs="Arial"/>
          <w:szCs w:val="22"/>
        </w:rPr>
        <w:t>The exemptions mentioned above are those most likely to apply in practice. However, the DPA contains additional exemptions that may be relevant when dealing with a SAR.</w:t>
      </w:r>
    </w:p>
    <w:p w:rsidR="00F7323A" w:rsidRDefault="00F7323A" w:rsidP="00F7323A">
      <w:pPr>
        <w:rPr>
          <w:rFonts w:cs="Arial"/>
          <w:szCs w:val="22"/>
        </w:rPr>
      </w:pPr>
      <w:r w:rsidRPr="006E4FF4">
        <w:rPr>
          <w:rFonts w:cs="Arial"/>
          <w:szCs w:val="22"/>
        </w:rPr>
        <w:t xml:space="preserve">For more information about exemptions see the </w:t>
      </w:r>
      <w:hyperlink r:id="rId7" w:history="1">
        <w:r w:rsidRPr="006E4FF4">
          <w:rPr>
            <w:rStyle w:val="Hyperlink"/>
            <w:rFonts w:cs="Arial"/>
            <w:szCs w:val="22"/>
          </w:rPr>
          <w:t>ICO Guide to Data Protection – How to disclose information safely</w:t>
        </w:r>
      </w:hyperlink>
    </w:p>
    <w:p w:rsidR="00F7323A" w:rsidRPr="00A0338B" w:rsidRDefault="00F7323A" w:rsidP="00F7323A">
      <w:pPr>
        <w:pStyle w:val="Hding"/>
      </w:pPr>
      <w:bookmarkStart w:id="30" w:name="_Toc507921589"/>
      <w:bookmarkStart w:id="31" w:name="_Toc514145337"/>
      <w:r w:rsidRPr="00A0338B">
        <w:t>How do I complete redactions?</w:t>
      </w:r>
      <w:bookmarkEnd w:id="30"/>
      <w:bookmarkEnd w:id="31"/>
    </w:p>
    <w:p w:rsidR="00F7323A" w:rsidRPr="006E4FF4" w:rsidRDefault="00F7323A" w:rsidP="00F7323A">
      <w:pPr>
        <w:rPr>
          <w:rFonts w:cs="Arial"/>
          <w:szCs w:val="22"/>
          <w:lang w:val="en-US" w:eastAsia="ja-JP"/>
        </w:rPr>
      </w:pPr>
      <w:r w:rsidRPr="006E4FF4">
        <w:rPr>
          <w:rFonts w:cs="Arial"/>
          <w:szCs w:val="22"/>
          <w:lang w:val="en-US" w:eastAsia="ja-JP"/>
        </w:rPr>
        <w:t xml:space="preserve">Much of the data we hold and which needs to be provided in response to an SAR, may contain information which is not the personal data of the data subject or is covered by an exemption and not to be disclosed. </w:t>
      </w:r>
    </w:p>
    <w:p w:rsidR="00F7323A" w:rsidRPr="006E4FF4" w:rsidRDefault="00F7323A" w:rsidP="00F7323A">
      <w:pPr>
        <w:rPr>
          <w:rFonts w:cs="Arial"/>
          <w:szCs w:val="22"/>
          <w:lang w:val="en-US" w:eastAsia="ja-JP"/>
        </w:rPr>
      </w:pPr>
      <w:r w:rsidRPr="006E4FF4">
        <w:rPr>
          <w:rFonts w:cs="Arial"/>
          <w:szCs w:val="22"/>
          <w:lang w:val="en-US" w:eastAsia="ja-JP"/>
        </w:rPr>
        <w:t xml:space="preserve">Where the personal data that needs to </w:t>
      </w:r>
      <w:proofErr w:type="gramStart"/>
      <w:r w:rsidRPr="006E4FF4">
        <w:rPr>
          <w:rFonts w:cs="Arial"/>
          <w:szCs w:val="22"/>
          <w:lang w:val="en-US" w:eastAsia="ja-JP"/>
        </w:rPr>
        <w:t>be disclosed</w:t>
      </w:r>
      <w:proofErr w:type="gramEnd"/>
      <w:r w:rsidRPr="006E4FF4">
        <w:rPr>
          <w:rFonts w:cs="Arial"/>
          <w:szCs w:val="22"/>
          <w:lang w:val="en-US" w:eastAsia="ja-JP"/>
        </w:rPr>
        <w:t xml:space="preserve"> is contained within the same document that the exempt information you need to redact. Redaction is the process of blocking out information so that the data subject cannot read it. Most redaction </w:t>
      </w:r>
      <w:proofErr w:type="gramStart"/>
      <w:r w:rsidRPr="006E4FF4">
        <w:rPr>
          <w:rFonts w:cs="Arial"/>
          <w:szCs w:val="22"/>
          <w:lang w:val="en-US" w:eastAsia="ja-JP"/>
        </w:rPr>
        <w:t>is done</w:t>
      </w:r>
      <w:proofErr w:type="gramEnd"/>
      <w:r w:rsidRPr="006E4FF4">
        <w:rPr>
          <w:rFonts w:cs="Arial"/>
          <w:szCs w:val="22"/>
          <w:lang w:val="en-US" w:eastAsia="ja-JP"/>
        </w:rPr>
        <w:t xml:space="preserve"> by covering the exempt information with a dark black line.</w:t>
      </w:r>
    </w:p>
    <w:p w:rsidR="00654907" w:rsidRDefault="00F7323A" w:rsidP="00F7323A">
      <w:pPr>
        <w:rPr>
          <w:rFonts w:cs="Arial"/>
          <w:szCs w:val="22"/>
          <w:lang w:val="en-US" w:eastAsia="ja-JP"/>
        </w:rPr>
      </w:pPr>
      <w:r w:rsidRPr="006E4FF4">
        <w:rPr>
          <w:rFonts w:cs="Arial"/>
          <w:szCs w:val="22"/>
          <w:lang w:val="en-US" w:eastAsia="ja-JP"/>
        </w:rPr>
        <w:t xml:space="preserve">When you redact a document or remove exempt </w:t>
      </w:r>
      <w:r w:rsidR="00137A13" w:rsidRPr="006E4FF4">
        <w:rPr>
          <w:rFonts w:cs="Arial"/>
          <w:szCs w:val="22"/>
          <w:lang w:val="en-US" w:eastAsia="ja-JP"/>
        </w:rPr>
        <w:t>information,</w:t>
      </w:r>
      <w:r w:rsidRPr="006E4FF4">
        <w:rPr>
          <w:rFonts w:cs="Arial"/>
          <w:szCs w:val="22"/>
          <w:lang w:val="en-US" w:eastAsia="ja-JP"/>
        </w:rPr>
        <w:t xml:space="preserve"> you should make notes on the redaction template providing a description of the document and the reason for the redaction/removal, using the redaction template.</w:t>
      </w:r>
      <w:r>
        <w:rPr>
          <w:rFonts w:cs="Arial"/>
          <w:szCs w:val="22"/>
          <w:lang w:val="en-US" w:eastAsia="ja-JP"/>
        </w:rPr>
        <w:t xml:space="preserve">  </w:t>
      </w:r>
      <w:r w:rsidRPr="006E4FF4">
        <w:rPr>
          <w:rFonts w:cs="Arial"/>
          <w:szCs w:val="22"/>
          <w:lang w:val="en-US" w:eastAsia="ja-JP"/>
        </w:rPr>
        <w:t xml:space="preserve">Redaction </w:t>
      </w:r>
      <w:proofErr w:type="gramStart"/>
      <w:r w:rsidRPr="006E4FF4">
        <w:rPr>
          <w:rFonts w:cs="Arial"/>
          <w:szCs w:val="22"/>
          <w:lang w:val="en-US" w:eastAsia="ja-JP"/>
        </w:rPr>
        <w:t>can be completed</w:t>
      </w:r>
      <w:proofErr w:type="gramEnd"/>
      <w:r w:rsidRPr="006E4FF4">
        <w:rPr>
          <w:rFonts w:cs="Arial"/>
          <w:szCs w:val="22"/>
          <w:lang w:val="en-US" w:eastAsia="ja-JP"/>
        </w:rPr>
        <w:t xml:space="preserve"> using the following methods:</w:t>
      </w:r>
    </w:p>
    <w:p w:rsidR="00654907" w:rsidRDefault="00654907">
      <w:pPr>
        <w:rPr>
          <w:rFonts w:cs="Arial"/>
          <w:szCs w:val="22"/>
          <w:lang w:val="en-US" w:eastAsia="ja-JP"/>
        </w:rPr>
      </w:pPr>
      <w:r>
        <w:rPr>
          <w:rFonts w:cs="Arial"/>
          <w:szCs w:val="22"/>
          <w:lang w:val="en-US" w:eastAsia="ja-JP"/>
        </w:rPr>
        <w:br w:type="page"/>
      </w:r>
    </w:p>
    <w:p w:rsidR="00F7323A" w:rsidRPr="006E4FF4" w:rsidRDefault="00F7323A" w:rsidP="00F7323A">
      <w:pPr>
        <w:rPr>
          <w:rFonts w:cs="Arial"/>
          <w:szCs w:val="22"/>
          <w:lang w:val="en-US" w:eastAsia="ja-JP"/>
        </w:rPr>
      </w:pPr>
    </w:p>
    <w:p w:rsidR="00F7323A" w:rsidRPr="006E4FF4" w:rsidRDefault="00F7323A" w:rsidP="00F7323A">
      <w:pPr>
        <w:numPr>
          <w:ilvl w:val="0"/>
          <w:numId w:val="20"/>
        </w:numPr>
        <w:spacing w:before="240" w:after="240" w:line="240" w:lineRule="auto"/>
        <w:ind w:left="1418" w:hanging="284"/>
        <w:rPr>
          <w:rFonts w:cs="Arial"/>
          <w:szCs w:val="22"/>
          <w:lang w:val="en-US" w:eastAsia="ja-JP"/>
        </w:rPr>
      </w:pPr>
      <w:r w:rsidRPr="006E4FF4">
        <w:rPr>
          <w:rFonts w:cs="Arial"/>
          <w:szCs w:val="22"/>
          <w:lang w:val="en-US" w:eastAsia="ja-JP"/>
        </w:rPr>
        <w:t>Cover large blocks of text with plain paper - If there are large blocks of information to be redacted you can cover these with plain paper before photocopying. The original copy should be destroyed using confidential waste.</w:t>
      </w:r>
    </w:p>
    <w:p w:rsidR="00F7323A" w:rsidRPr="006E4FF4" w:rsidRDefault="00F7323A" w:rsidP="00F7323A">
      <w:pPr>
        <w:numPr>
          <w:ilvl w:val="0"/>
          <w:numId w:val="20"/>
        </w:numPr>
        <w:spacing w:before="240" w:after="240" w:line="240" w:lineRule="auto"/>
        <w:ind w:left="1418" w:hanging="284"/>
        <w:rPr>
          <w:rFonts w:cs="Arial"/>
          <w:szCs w:val="22"/>
          <w:lang w:val="en-US" w:eastAsia="ja-JP"/>
        </w:rPr>
      </w:pPr>
      <w:r w:rsidRPr="006E4FF4">
        <w:rPr>
          <w:rFonts w:cs="Arial"/>
          <w:szCs w:val="22"/>
          <w:lang w:val="en-US" w:eastAsia="ja-JP"/>
        </w:rPr>
        <w:t xml:space="preserve">Manual redaction – This is useful were there are only small pieces of text that need to be removed. Manual redaction </w:t>
      </w:r>
      <w:proofErr w:type="gramStart"/>
      <w:r w:rsidRPr="006E4FF4">
        <w:rPr>
          <w:rFonts w:cs="Arial"/>
          <w:szCs w:val="22"/>
          <w:lang w:val="en-US" w:eastAsia="ja-JP"/>
        </w:rPr>
        <w:t>can be done</w:t>
      </w:r>
      <w:proofErr w:type="gramEnd"/>
      <w:r w:rsidRPr="006E4FF4">
        <w:rPr>
          <w:rFonts w:cs="Arial"/>
          <w:szCs w:val="22"/>
          <w:lang w:val="en-US" w:eastAsia="ja-JP"/>
        </w:rPr>
        <w:t xml:space="preserve"> using an indelible black marker to cover the relevant text. </w:t>
      </w:r>
      <w:r w:rsidRPr="006E4FF4">
        <w:rPr>
          <w:rFonts w:cs="Arial"/>
          <w:b/>
          <w:szCs w:val="22"/>
          <w:lang w:val="en-US" w:eastAsia="ja-JP"/>
        </w:rPr>
        <w:t>NOTE</w:t>
      </w:r>
      <w:r w:rsidRPr="006E4FF4">
        <w:rPr>
          <w:rFonts w:cs="Arial"/>
          <w:szCs w:val="22"/>
          <w:lang w:val="en-US" w:eastAsia="ja-JP"/>
        </w:rPr>
        <w:t xml:space="preserve">: be careful that you have covered the text completed by holding the document to the light. Often a document redacted manually needs to be re copied to ensure that the marked text cannot be read. </w:t>
      </w:r>
      <w:r w:rsidR="00EF128C" w:rsidRPr="006E4FF4">
        <w:rPr>
          <w:rFonts w:cs="Arial"/>
          <w:szCs w:val="22"/>
          <w:lang w:val="en-US" w:eastAsia="ja-JP"/>
        </w:rPr>
        <w:t>Also,</w:t>
      </w:r>
      <w:r w:rsidRPr="006E4FF4">
        <w:rPr>
          <w:rFonts w:cs="Arial"/>
          <w:szCs w:val="22"/>
          <w:lang w:val="en-US" w:eastAsia="ja-JP"/>
        </w:rPr>
        <w:t xml:space="preserve"> note that manual redaction </w:t>
      </w:r>
      <w:proofErr w:type="gramStart"/>
      <w:r w:rsidRPr="006E4FF4">
        <w:rPr>
          <w:rFonts w:cs="Arial"/>
          <w:szCs w:val="22"/>
          <w:lang w:val="en-US" w:eastAsia="ja-JP"/>
        </w:rPr>
        <w:t>can only be done</w:t>
      </w:r>
      <w:proofErr w:type="gramEnd"/>
      <w:r w:rsidRPr="006E4FF4">
        <w:rPr>
          <w:rFonts w:cs="Arial"/>
          <w:szCs w:val="22"/>
          <w:lang w:val="en-US" w:eastAsia="ja-JP"/>
        </w:rPr>
        <w:t xml:space="preserve"> on single sided copies. </w:t>
      </w:r>
    </w:p>
    <w:p w:rsidR="00F7323A" w:rsidRPr="006E4FF4" w:rsidRDefault="00F7323A" w:rsidP="00F7323A">
      <w:pPr>
        <w:numPr>
          <w:ilvl w:val="0"/>
          <w:numId w:val="20"/>
        </w:numPr>
        <w:spacing w:before="240" w:after="240" w:line="240" w:lineRule="auto"/>
        <w:ind w:left="1418" w:hanging="284"/>
        <w:rPr>
          <w:rFonts w:cs="Arial"/>
          <w:szCs w:val="22"/>
          <w:lang w:val="en-US" w:eastAsia="ja-JP"/>
        </w:rPr>
      </w:pPr>
      <w:r w:rsidRPr="006E4FF4">
        <w:rPr>
          <w:rFonts w:cs="Arial"/>
          <w:szCs w:val="22"/>
          <w:lang w:val="en-US" w:eastAsia="ja-JP"/>
        </w:rPr>
        <w:t>Redaction using specialist software – this type of reaction is useful when you need to large pieces of text on a large SAR. Adobe redaction software or Rapid Redact are available.</w:t>
      </w:r>
    </w:p>
    <w:p w:rsidR="00F7323A" w:rsidRDefault="00F7323A" w:rsidP="00F7323A">
      <w:pPr>
        <w:rPr>
          <w:rFonts w:cs="Arial"/>
          <w:szCs w:val="22"/>
          <w:lang w:val="en-US" w:eastAsia="ja-JP"/>
        </w:rPr>
      </w:pPr>
      <w:r w:rsidRPr="006E4FF4">
        <w:rPr>
          <w:rFonts w:cs="Arial"/>
          <w:b/>
          <w:szCs w:val="22"/>
          <w:lang w:val="en-US" w:eastAsia="ja-JP"/>
        </w:rPr>
        <w:t>NOTE</w:t>
      </w:r>
      <w:r w:rsidRPr="006E4FF4">
        <w:rPr>
          <w:rFonts w:cs="Arial"/>
          <w:szCs w:val="22"/>
          <w:lang w:val="en-US" w:eastAsia="ja-JP"/>
        </w:rPr>
        <w:t xml:space="preserve">:  redaction should not be done using Word as this can be removed by the data subject, thereby making us responsible for a data </w:t>
      </w:r>
      <w:proofErr w:type="gramStart"/>
      <w:r w:rsidRPr="006E4FF4">
        <w:rPr>
          <w:rFonts w:cs="Arial"/>
          <w:szCs w:val="22"/>
          <w:lang w:val="en-US" w:eastAsia="ja-JP"/>
        </w:rPr>
        <w:t>breach</w:t>
      </w:r>
      <w:proofErr w:type="gramEnd"/>
      <w:r w:rsidRPr="006E4FF4">
        <w:rPr>
          <w:rFonts w:cs="Arial"/>
          <w:szCs w:val="22"/>
          <w:lang w:val="en-US" w:eastAsia="ja-JP"/>
        </w:rPr>
        <w:t xml:space="preserve"> as we would not have put in place adequate security measures when releasing the data. </w:t>
      </w:r>
    </w:p>
    <w:p w:rsidR="00654907" w:rsidRPr="006E4FF4" w:rsidRDefault="00654907" w:rsidP="00F7323A">
      <w:pPr>
        <w:rPr>
          <w:rFonts w:cs="Arial"/>
          <w:szCs w:val="22"/>
          <w:lang w:val="en-US" w:eastAsia="ja-JP"/>
        </w:rPr>
      </w:pPr>
    </w:p>
    <w:p w:rsidR="00F7323A" w:rsidRPr="00A0338B" w:rsidRDefault="00F7323A" w:rsidP="00F7323A">
      <w:pPr>
        <w:pStyle w:val="Hding"/>
      </w:pPr>
      <w:bookmarkStart w:id="32" w:name="_Toc507921590"/>
      <w:bookmarkStart w:id="33" w:name="_Toc514145338"/>
      <w:r w:rsidRPr="00A0338B">
        <w:t>What is a double check?</w:t>
      </w:r>
      <w:bookmarkEnd w:id="32"/>
      <w:bookmarkEnd w:id="33"/>
    </w:p>
    <w:p w:rsidR="00F7323A" w:rsidRPr="006E4FF4" w:rsidRDefault="00F7323A" w:rsidP="00F7323A">
      <w:pPr>
        <w:rPr>
          <w:rFonts w:cs="Arial"/>
          <w:szCs w:val="22"/>
        </w:rPr>
      </w:pPr>
      <w:r w:rsidRPr="006E4FF4">
        <w:rPr>
          <w:rFonts w:cs="Arial"/>
          <w:szCs w:val="22"/>
        </w:rPr>
        <w:t>Once you are satisfied that the documents are ready for despatch to the data subject you must get your Business Manager to complete a double check of the SAR.</w:t>
      </w:r>
    </w:p>
    <w:p w:rsidR="00F7323A" w:rsidRPr="006E4FF4" w:rsidRDefault="00F7323A" w:rsidP="00F7323A">
      <w:pPr>
        <w:rPr>
          <w:rFonts w:cs="Arial"/>
          <w:szCs w:val="22"/>
        </w:rPr>
      </w:pPr>
      <w:r w:rsidRPr="006E4FF4">
        <w:rPr>
          <w:rFonts w:cs="Arial"/>
          <w:szCs w:val="22"/>
        </w:rPr>
        <w:t xml:space="preserve">This </w:t>
      </w:r>
      <w:proofErr w:type="gramStart"/>
      <w:r w:rsidRPr="006E4FF4">
        <w:rPr>
          <w:rFonts w:cs="Arial"/>
          <w:szCs w:val="22"/>
        </w:rPr>
        <w:t>is done</w:t>
      </w:r>
      <w:proofErr w:type="gramEnd"/>
      <w:r w:rsidRPr="006E4FF4">
        <w:rPr>
          <w:rFonts w:cs="Arial"/>
          <w:szCs w:val="22"/>
        </w:rPr>
        <w:t xml:space="preserve"> to ensure that all third party or other exempt data has been removed appropriately and that any documents have been redacted correctly.</w:t>
      </w:r>
    </w:p>
    <w:p w:rsidR="00F7323A" w:rsidRPr="006E4FF4" w:rsidRDefault="00F7323A" w:rsidP="00F7323A">
      <w:pPr>
        <w:rPr>
          <w:rFonts w:cs="Arial"/>
          <w:szCs w:val="22"/>
        </w:rPr>
      </w:pPr>
      <w:r w:rsidRPr="006E4FF4">
        <w:rPr>
          <w:rFonts w:cs="Arial"/>
          <w:szCs w:val="22"/>
        </w:rPr>
        <w:t xml:space="preserve">Third party data sent out in error to the wrong person constitutes a data breach under the Data Protection Act 2018 and can have very serious consequences for the school (see section 5 of the SAR policy). </w:t>
      </w:r>
    </w:p>
    <w:p w:rsidR="00F7323A" w:rsidRPr="006E4FF4" w:rsidRDefault="00F7323A" w:rsidP="00F7323A">
      <w:pPr>
        <w:rPr>
          <w:rFonts w:cs="Arial"/>
          <w:szCs w:val="22"/>
        </w:rPr>
      </w:pPr>
      <w:r w:rsidRPr="006E4FF4">
        <w:rPr>
          <w:rFonts w:cs="Arial"/>
          <w:szCs w:val="22"/>
        </w:rPr>
        <w:t xml:space="preserve">You should ask your Business Manager to do a double check of the information you are providing to the data subject. Provide your Business Manager with copies of the documents ready for despatch and a copy of the original SAR request. This double check </w:t>
      </w:r>
      <w:proofErr w:type="gramStart"/>
      <w:r w:rsidRPr="006E4FF4">
        <w:rPr>
          <w:rFonts w:cs="Arial"/>
          <w:szCs w:val="22"/>
        </w:rPr>
        <w:t>must be done</w:t>
      </w:r>
      <w:proofErr w:type="gramEnd"/>
      <w:r w:rsidRPr="006E4FF4">
        <w:rPr>
          <w:rFonts w:cs="Arial"/>
          <w:szCs w:val="22"/>
        </w:rPr>
        <w:t xml:space="preserve"> within the time limits allowed for the SAR and therefore must be built into the process. </w:t>
      </w:r>
    </w:p>
    <w:p w:rsidR="00F7323A" w:rsidRDefault="00F7323A" w:rsidP="00F7323A">
      <w:pPr>
        <w:rPr>
          <w:rFonts w:cs="Arial"/>
          <w:szCs w:val="22"/>
        </w:rPr>
      </w:pPr>
      <w:r w:rsidRPr="006E4FF4">
        <w:rPr>
          <w:rFonts w:cs="Arial"/>
          <w:b/>
          <w:szCs w:val="22"/>
        </w:rPr>
        <w:t>NOTE</w:t>
      </w:r>
      <w:r w:rsidRPr="006E4FF4">
        <w:rPr>
          <w:rFonts w:cs="Arial"/>
          <w:szCs w:val="22"/>
        </w:rPr>
        <w:t xml:space="preserve">: Occasionally schools will outsource the redaction of SARs to a third party provider such as LBC’s IG team a solicitor or barrister. A double check of the work completed must be carried out by the Business Manager before any documents are sent out to the data subject. This is to ensure that the work </w:t>
      </w:r>
      <w:proofErr w:type="gramStart"/>
      <w:r w:rsidRPr="006E4FF4">
        <w:rPr>
          <w:rFonts w:cs="Arial"/>
          <w:szCs w:val="22"/>
        </w:rPr>
        <w:t>is completed</w:t>
      </w:r>
      <w:proofErr w:type="gramEnd"/>
      <w:r w:rsidRPr="006E4FF4">
        <w:rPr>
          <w:rFonts w:cs="Arial"/>
          <w:szCs w:val="22"/>
        </w:rPr>
        <w:t xml:space="preserve"> to the standards expected by the school.</w:t>
      </w:r>
    </w:p>
    <w:p w:rsidR="00654907" w:rsidRDefault="00654907" w:rsidP="00F7323A">
      <w:pPr>
        <w:rPr>
          <w:rFonts w:cs="Arial"/>
          <w:szCs w:val="22"/>
        </w:rPr>
      </w:pPr>
    </w:p>
    <w:p w:rsidR="00F7323A" w:rsidRPr="00A0338B" w:rsidRDefault="00F7323A" w:rsidP="00A219F9">
      <w:pPr>
        <w:pStyle w:val="Hding"/>
      </w:pPr>
      <w:bookmarkStart w:id="34" w:name="_Toc507921591"/>
      <w:bookmarkStart w:id="35" w:name="_Toc514145339"/>
      <w:r w:rsidRPr="00A0338B">
        <w:t>How do I respond to a SAR?</w:t>
      </w:r>
      <w:bookmarkEnd w:id="34"/>
      <w:bookmarkEnd w:id="35"/>
      <w:r w:rsidRPr="00A0338B">
        <w:t xml:space="preserve"> </w:t>
      </w:r>
    </w:p>
    <w:p w:rsidR="00F7323A" w:rsidRPr="006E4FF4" w:rsidRDefault="00F7323A" w:rsidP="00F7323A">
      <w:pPr>
        <w:rPr>
          <w:rFonts w:cs="Arial"/>
          <w:szCs w:val="22"/>
        </w:rPr>
      </w:pPr>
      <w:r w:rsidRPr="006E4FF4">
        <w:rPr>
          <w:rFonts w:cs="Arial"/>
          <w:szCs w:val="22"/>
        </w:rPr>
        <w:t xml:space="preserve">Once all of the information </w:t>
      </w:r>
      <w:proofErr w:type="gramStart"/>
      <w:r w:rsidRPr="006E4FF4">
        <w:rPr>
          <w:rFonts w:cs="Arial"/>
          <w:szCs w:val="22"/>
        </w:rPr>
        <w:t>has been collated</w:t>
      </w:r>
      <w:proofErr w:type="gramEnd"/>
      <w:r w:rsidRPr="006E4FF4">
        <w:rPr>
          <w:rFonts w:cs="Arial"/>
          <w:szCs w:val="22"/>
        </w:rPr>
        <w:t xml:space="preserve"> (duplicates and third party information has been removed or redacted and a double check has been carried out) the SAR is ready for despatch.</w:t>
      </w:r>
    </w:p>
    <w:p w:rsidR="00F7323A" w:rsidRPr="006E4FF4" w:rsidRDefault="00F7323A" w:rsidP="00F7323A">
      <w:pPr>
        <w:rPr>
          <w:rFonts w:cs="Arial"/>
          <w:szCs w:val="22"/>
        </w:rPr>
      </w:pPr>
      <w:r w:rsidRPr="006E4FF4">
        <w:rPr>
          <w:rFonts w:cs="Arial"/>
          <w:szCs w:val="22"/>
        </w:rPr>
        <w:t xml:space="preserve">The school is required to provide copies in a format requested by the data subject. </w:t>
      </w:r>
    </w:p>
    <w:p w:rsidR="00F7323A" w:rsidRPr="006E4FF4" w:rsidRDefault="00F7323A" w:rsidP="00F7323A">
      <w:pPr>
        <w:numPr>
          <w:ilvl w:val="0"/>
          <w:numId w:val="17"/>
        </w:numPr>
        <w:spacing w:before="0" w:after="0" w:line="240" w:lineRule="auto"/>
        <w:rPr>
          <w:rFonts w:cs="Arial"/>
          <w:szCs w:val="22"/>
        </w:rPr>
      </w:pPr>
      <w:r w:rsidRPr="006E4FF4">
        <w:rPr>
          <w:rFonts w:cs="Arial"/>
          <w:szCs w:val="22"/>
        </w:rPr>
        <w:t>Do not provide original documents only copies</w:t>
      </w:r>
    </w:p>
    <w:p w:rsidR="00BF0C54" w:rsidRDefault="00F7323A" w:rsidP="00C3268F">
      <w:pPr>
        <w:numPr>
          <w:ilvl w:val="0"/>
          <w:numId w:val="16"/>
        </w:numPr>
        <w:spacing w:before="0" w:after="0" w:line="240" w:lineRule="auto"/>
        <w:rPr>
          <w:rFonts w:cs="Arial"/>
          <w:szCs w:val="22"/>
        </w:rPr>
      </w:pPr>
      <w:r w:rsidRPr="00BF0C54">
        <w:rPr>
          <w:rFonts w:cs="Arial"/>
          <w:szCs w:val="22"/>
        </w:rPr>
        <w:t>Always keep a copy of the documents provided to the SAR. Best practice is to add the documents to a file alongside the origi</w:t>
      </w:r>
      <w:bookmarkStart w:id="36" w:name="_GoBack"/>
      <w:bookmarkEnd w:id="36"/>
      <w:r w:rsidRPr="00BF0C54">
        <w:rPr>
          <w:rFonts w:cs="Arial"/>
          <w:szCs w:val="22"/>
        </w:rPr>
        <w:t>nal request.</w:t>
      </w:r>
    </w:p>
    <w:p w:rsidR="00F7323A" w:rsidRPr="00BF0C54" w:rsidRDefault="00F7323A" w:rsidP="00C3268F">
      <w:pPr>
        <w:numPr>
          <w:ilvl w:val="0"/>
          <w:numId w:val="16"/>
        </w:numPr>
        <w:spacing w:before="0" w:after="0" w:line="240" w:lineRule="auto"/>
        <w:rPr>
          <w:rFonts w:cs="Arial"/>
          <w:szCs w:val="22"/>
        </w:rPr>
      </w:pPr>
      <w:r w:rsidRPr="00BF0C54">
        <w:rPr>
          <w:rFonts w:cs="Arial"/>
          <w:szCs w:val="22"/>
        </w:rPr>
        <w:lastRenderedPageBreak/>
        <w:t xml:space="preserve">Remember if you have scanned the documents into a shared </w:t>
      </w:r>
      <w:proofErr w:type="gramStart"/>
      <w:r w:rsidRPr="00BF0C54">
        <w:rPr>
          <w:rFonts w:cs="Arial"/>
          <w:szCs w:val="22"/>
        </w:rPr>
        <w:t>folder</w:t>
      </w:r>
      <w:proofErr w:type="gramEnd"/>
      <w:r w:rsidRPr="00BF0C54">
        <w:rPr>
          <w:rFonts w:cs="Arial"/>
          <w:szCs w:val="22"/>
        </w:rPr>
        <w:t xml:space="preserve"> you should delete them as soon as they have been moved to their new secure location. This is to ensure that unauthorised parties do not gain access.</w:t>
      </w:r>
    </w:p>
    <w:p w:rsidR="00F7323A" w:rsidRPr="006E4FF4" w:rsidRDefault="00F7323A" w:rsidP="00F7323A">
      <w:pPr>
        <w:spacing w:before="0" w:after="0"/>
        <w:rPr>
          <w:rFonts w:cs="Arial"/>
          <w:szCs w:val="22"/>
        </w:rPr>
      </w:pPr>
    </w:p>
    <w:p w:rsidR="00F7323A" w:rsidRPr="006E4FF4" w:rsidRDefault="00F7323A" w:rsidP="00F7323A">
      <w:pPr>
        <w:spacing w:before="0" w:after="0"/>
        <w:rPr>
          <w:rFonts w:cs="Arial"/>
          <w:szCs w:val="22"/>
        </w:rPr>
      </w:pPr>
      <w:r w:rsidRPr="006E4FF4">
        <w:rPr>
          <w:rFonts w:cs="Arial"/>
          <w:szCs w:val="22"/>
        </w:rPr>
        <w:t>You can then send the documents securely using the following methods:</w:t>
      </w:r>
    </w:p>
    <w:p w:rsidR="00F7323A" w:rsidRPr="006E4FF4" w:rsidRDefault="00F7323A" w:rsidP="00F7323A">
      <w:pPr>
        <w:spacing w:before="0" w:after="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153"/>
      </w:tblGrid>
      <w:tr w:rsidR="00F7323A" w:rsidRPr="006E4FF4" w:rsidTr="00646345">
        <w:trPr>
          <w:trHeight w:val="263"/>
        </w:trPr>
        <w:tc>
          <w:tcPr>
            <w:tcW w:w="1809" w:type="dxa"/>
            <w:shd w:val="clear" w:color="auto" w:fill="auto"/>
          </w:tcPr>
          <w:p w:rsidR="00F7323A" w:rsidRPr="006E4FF4" w:rsidRDefault="00F7323A" w:rsidP="00646345">
            <w:pPr>
              <w:spacing w:before="0" w:after="0"/>
              <w:rPr>
                <w:rFonts w:eastAsia="Times New Roman" w:cs="Arial"/>
                <w:b/>
                <w:szCs w:val="22"/>
              </w:rPr>
            </w:pPr>
            <w:r w:rsidRPr="006E4FF4">
              <w:rPr>
                <w:rFonts w:eastAsia="Times New Roman" w:cs="Arial"/>
                <w:b/>
                <w:szCs w:val="22"/>
              </w:rPr>
              <w:t>Requested by:</w:t>
            </w:r>
          </w:p>
        </w:tc>
        <w:tc>
          <w:tcPr>
            <w:tcW w:w="8153" w:type="dxa"/>
            <w:shd w:val="clear" w:color="auto" w:fill="auto"/>
          </w:tcPr>
          <w:p w:rsidR="00F7323A" w:rsidRPr="006E4FF4" w:rsidRDefault="00F7323A" w:rsidP="00646345">
            <w:pPr>
              <w:spacing w:before="0" w:after="0"/>
              <w:rPr>
                <w:rFonts w:eastAsia="Times New Roman" w:cs="Arial"/>
                <w:b/>
                <w:szCs w:val="22"/>
              </w:rPr>
            </w:pPr>
            <w:r w:rsidRPr="006E4FF4">
              <w:rPr>
                <w:rFonts w:eastAsia="Times New Roman" w:cs="Arial"/>
                <w:b/>
                <w:szCs w:val="22"/>
              </w:rPr>
              <w:t>Method:</w:t>
            </w:r>
          </w:p>
        </w:tc>
      </w:tr>
      <w:tr w:rsidR="00F7323A" w:rsidRPr="006E4FF4" w:rsidTr="00646345">
        <w:tc>
          <w:tcPr>
            <w:tcW w:w="1809" w:type="dxa"/>
            <w:shd w:val="clear" w:color="auto" w:fill="auto"/>
            <w:vAlign w:val="center"/>
          </w:tcPr>
          <w:p w:rsidR="00F7323A" w:rsidRPr="006E4FF4" w:rsidRDefault="00F7323A" w:rsidP="00646345">
            <w:pPr>
              <w:spacing w:before="0" w:after="0"/>
              <w:jc w:val="center"/>
              <w:rPr>
                <w:rFonts w:eastAsia="Times New Roman" w:cs="Arial"/>
                <w:b/>
                <w:szCs w:val="22"/>
              </w:rPr>
            </w:pPr>
            <w:r w:rsidRPr="006E4FF4">
              <w:rPr>
                <w:rFonts w:eastAsia="Times New Roman" w:cs="Arial"/>
                <w:b/>
                <w:szCs w:val="22"/>
              </w:rPr>
              <w:t>Hard copy</w:t>
            </w:r>
          </w:p>
        </w:tc>
        <w:tc>
          <w:tcPr>
            <w:tcW w:w="8153" w:type="dxa"/>
            <w:shd w:val="clear" w:color="auto" w:fill="auto"/>
          </w:tcPr>
          <w:p w:rsidR="00F7323A" w:rsidRPr="006E4FF4" w:rsidRDefault="00F7323A" w:rsidP="00646345">
            <w:pPr>
              <w:spacing w:before="0" w:after="0"/>
              <w:rPr>
                <w:rFonts w:eastAsia="Times New Roman" w:cs="Arial"/>
                <w:szCs w:val="22"/>
              </w:rPr>
            </w:pPr>
            <w:r w:rsidRPr="006E4FF4">
              <w:rPr>
                <w:rFonts w:eastAsia="Times New Roman" w:cs="Arial"/>
                <w:szCs w:val="22"/>
              </w:rPr>
              <w:t>Documents should be hand delivered to the data subject wherever possible. Check ID and address for sending before handing over documents. Make sure that the documents are securely contained in a sealed envelope.</w:t>
            </w:r>
          </w:p>
          <w:p w:rsidR="00F7323A" w:rsidRPr="006E4FF4" w:rsidRDefault="00F7323A" w:rsidP="00646345">
            <w:pPr>
              <w:spacing w:before="0" w:after="0"/>
              <w:rPr>
                <w:rFonts w:eastAsia="Times New Roman" w:cs="Arial"/>
                <w:szCs w:val="22"/>
              </w:rPr>
            </w:pPr>
          </w:p>
          <w:p w:rsidR="00F7323A" w:rsidRPr="006E4FF4" w:rsidRDefault="00F7323A" w:rsidP="00646345">
            <w:pPr>
              <w:spacing w:before="0" w:after="0"/>
              <w:rPr>
                <w:rFonts w:eastAsia="Times New Roman" w:cs="Arial"/>
                <w:szCs w:val="22"/>
              </w:rPr>
            </w:pPr>
            <w:r w:rsidRPr="006E4FF4">
              <w:rPr>
                <w:rFonts w:eastAsia="Times New Roman" w:cs="Arial"/>
                <w:szCs w:val="22"/>
              </w:rPr>
              <w:t xml:space="preserve">If it not possible for the data subject to </w:t>
            </w:r>
            <w:proofErr w:type="gramStart"/>
            <w:r w:rsidRPr="006E4FF4">
              <w:rPr>
                <w:rFonts w:eastAsia="Times New Roman" w:cs="Arial"/>
                <w:szCs w:val="22"/>
              </w:rPr>
              <w:t>collect</w:t>
            </w:r>
            <w:proofErr w:type="gramEnd"/>
            <w:r w:rsidRPr="006E4FF4">
              <w:rPr>
                <w:rFonts w:eastAsia="Times New Roman" w:cs="Arial"/>
                <w:szCs w:val="22"/>
              </w:rPr>
              <w:t xml:space="preserve"> the documents themselves use the </w:t>
            </w:r>
            <w:r w:rsidRPr="006E4FF4">
              <w:rPr>
                <w:rFonts w:eastAsia="Times New Roman" w:cs="Arial"/>
                <w:b/>
                <w:szCs w:val="22"/>
              </w:rPr>
              <w:t>special delivery service</w:t>
            </w:r>
            <w:r w:rsidRPr="006E4FF4">
              <w:rPr>
                <w:rFonts w:eastAsia="Times New Roman" w:cs="Arial"/>
                <w:szCs w:val="22"/>
              </w:rPr>
              <w:t xml:space="preserve"> and include the name of the data subject on the envelope to ensure that they sign for the documents. </w:t>
            </w:r>
          </w:p>
          <w:p w:rsidR="00F7323A" w:rsidRPr="006E4FF4" w:rsidRDefault="00F7323A" w:rsidP="00646345">
            <w:pPr>
              <w:spacing w:before="0" w:after="0"/>
              <w:rPr>
                <w:rFonts w:eastAsia="Times New Roman" w:cs="Arial"/>
                <w:szCs w:val="22"/>
              </w:rPr>
            </w:pPr>
          </w:p>
          <w:p w:rsidR="00F7323A" w:rsidRPr="006E4FF4" w:rsidRDefault="00F7323A" w:rsidP="00646345">
            <w:pPr>
              <w:spacing w:before="0" w:after="0"/>
              <w:rPr>
                <w:rFonts w:eastAsia="Times New Roman" w:cs="Arial"/>
                <w:szCs w:val="22"/>
              </w:rPr>
            </w:pPr>
            <w:r w:rsidRPr="006E4FF4">
              <w:rPr>
                <w:rFonts w:eastAsia="Times New Roman" w:cs="Arial"/>
                <w:b/>
                <w:szCs w:val="22"/>
              </w:rPr>
              <w:t>Note</w:t>
            </w:r>
            <w:r w:rsidRPr="006E4FF4">
              <w:rPr>
                <w:rFonts w:eastAsia="Times New Roman" w:cs="Arial"/>
                <w:szCs w:val="22"/>
              </w:rPr>
              <w:t>: Check you have the correct address before posting</w:t>
            </w:r>
          </w:p>
        </w:tc>
      </w:tr>
      <w:tr w:rsidR="00F7323A" w:rsidRPr="006E4FF4" w:rsidTr="00646345">
        <w:tc>
          <w:tcPr>
            <w:tcW w:w="1809" w:type="dxa"/>
            <w:shd w:val="clear" w:color="auto" w:fill="auto"/>
            <w:vAlign w:val="center"/>
          </w:tcPr>
          <w:p w:rsidR="00F7323A" w:rsidRPr="006E4FF4" w:rsidRDefault="00F7323A" w:rsidP="00646345">
            <w:pPr>
              <w:jc w:val="center"/>
              <w:rPr>
                <w:rFonts w:eastAsia="Times New Roman" w:cs="Arial"/>
                <w:b/>
                <w:szCs w:val="22"/>
              </w:rPr>
            </w:pPr>
            <w:r w:rsidRPr="006E4FF4">
              <w:rPr>
                <w:rFonts w:eastAsia="Times New Roman" w:cs="Arial"/>
                <w:b/>
                <w:szCs w:val="22"/>
              </w:rPr>
              <w:t>Encrypted device</w:t>
            </w:r>
          </w:p>
        </w:tc>
        <w:tc>
          <w:tcPr>
            <w:tcW w:w="8153" w:type="dxa"/>
            <w:shd w:val="clear" w:color="auto" w:fill="auto"/>
          </w:tcPr>
          <w:p w:rsidR="00F7323A" w:rsidRPr="006E4FF4" w:rsidRDefault="00F7323A" w:rsidP="00646345">
            <w:pPr>
              <w:rPr>
                <w:rFonts w:eastAsia="Times New Roman" w:cs="Arial"/>
                <w:szCs w:val="22"/>
              </w:rPr>
            </w:pPr>
            <w:r w:rsidRPr="006E4FF4">
              <w:rPr>
                <w:rFonts w:eastAsia="Times New Roman" w:cs="Arial"/>
                <w:szCs w:val="22"/>
              </w:rPr>
              <w:t>Where the data is especially sensitive you may want to consider saving the documents on a password protected, encrypted memory device rather than posting hard copies. You can send the password to the data subject once they have received the device by post to ensure that only they have access.</w:t>
            </w:r>
          </w:p>
        </w:tc>
      </w:tr>
      <w:tr w:rsidR="00F7323A" w:rsidRPr="006E4FF4" w:rsidTr="00646345">
        <w:tc>
          <w:tcPr>
            <w:tcW w:w="1809" w:type="dxa"/>
            <w:shd w:val="clear" w:color="auto" w:fill="auto"/>
            <w:vAlign w:val="center"/>
          </w:tcPr>
          <w:p w:rsidR="00F7323A" w:rsidRPr="006E4FF4" w:rsidRDefault="00F7323A" w:rsidP="00646345">
            <w:pPr>
              <w:jc w:val="center"/>
              <w:rPr>
                <w:rFonts w:eastAsia="Times New Roman" w:cs="Arial"/>
                <w:b/>
                <w:szCs w:val="22"/>
              </w:rPr>
            </w:pPr>
            <w:r w:rsidRPr="006E4FF4">
              <w:rPr>
                <w:rFonts w:eastAsia="Times New Roman" w:cs="Arial"/>
                <w:b/>
                <w:szCs w:val="22"/>
              </w:rPr>
              <w:t>Email</w:t>
            </w:r>
          </w:p>
        </w:tc>
        <w:tc>
          <w:tcPr>
            <w:tcW w:w="8153" w:type="dxa"/>
            <w:shd w:val="clear" w:color="auto" w:fill="auto"/>
          </w:tcPr>
          <w:p w:rsidR="00F7323A" w:rsidRPr="006E4FF4" w:rsidRDefault="00F7323A" w:rsidP="00646345">
            <w:pPr>
              <w:rPr>
                <w:rFonts w:eastAsia="Times New Roman" w:cs="Arial"/>
                <w:szCs w:val="22"/>
              </w:rPr>
            </w:pPr>
            <w:r w:rsidRPr="006E4FF4">
              <w:rPr>
                <w:rFonts w:eastAsia="Times New Roman" w:cs="Arial"/>
                <w:szCs w:val="22"/>
              </w:rPr>
              <w:t xml:space="preserve">If the school has a secure </w:t>
            </w:r>
            <w:proofErr w:type="gramStart"/>
            <w:r w:rsidRPr="006E4FF4">
              <w:rPr>
                <w:rFonts w:eastAsia="Times New Roman" w:cs="Arial"/>
                <w:szCs w:val="22"/>
              </w:rPr>
              <w:t>email</w:t>
            </w:r>
            <w:proofErr w:type="gramEnd"/>
            <w:r w:rsidRPr="006E4FF4">
              <w:rPr>
                <w:rFonts w:eastAsia="Times New Roman" w:cs="Arial"/>
                <w:szCs w:val="22"/>
              </w:rPr>
              <w:t xml:space="preserve"> system this is the school’s preferred method. Scan a copy of the file and move it to a secure location on the network. Send the file by secure data transfer (currently Egress). Ask the data subject to confirm receipt of the documents as soon as possible</w:t>
            </w:r>
          </w:p>
        </w:tc>
      </w:tr>
    </w:tbl>
    <w:p w:rsidR="00F7323A" w:rsidRDefault="00F7323A" w:rsidP="00F7323A">
      <w:pPr>
        <w:rPr>
          <w:rFonts w:cs="Arial"/>
          <w:szCs w:val="22"/>
        </w:rPr>
      </w:pPr>
      <w:r w:rsidRPr="006E4FF4">
        <w:rPr>
          <w:rFonts w:cs="Arial"/>
          <w:b/>
          <w:szCs w:val="22"/>
        </w:rPr>
        <w:t>NOTE</w:t>
      </w:r>
      <w:r w:rsidRPr="006E4FF4">
        <w:rPr>
          <w:rFonts w:cs="Arial"/>
          <w:szCs w:val="22"/>
        </w:rPr>
        <w:t xml:space="preserve">: If any of the data goes missing or the data subject complains about the data sent out refer to the school’s data breach policy immediately. If you have used Egress or similar to send the data you can revoke access at any time to </w:t>
      </w:r>
      <w:proofErr w:type="gramStart"/>
      <w:r w:rsidRPr="006E4FF4">
        <w:rPr>
          <w:rFonts w:cs="Arial"/>
          <w:szCs w:val="22"/>
        </w:rPr>
        <w:t>stop</w:t>
      </w:r>
      <w:proofErr w:type="gramEnd"/>
      <w:r w:rsidRPr="006E4FF4">
        <w:rPr>
          <w:rFonts w:cs="Arial"/>
          <w:szCs w:val="22"/>
        </w:rPr>
        <w:t xml:space="preserve"> the data file from being opened or shared. </w:t>
      </w:r>
    </w:p>
    <w:p w:rsidR="00F7323A" w:rsidRPr="006E4FF4" w:rsidRDefault="00F7323A" w:rsidP="00F7323A">
      <w:pPr>
        <w:rPr>
          <w:rFonts w:cs="Arial"/>
          <w:szCs w:val="22"/>
        </w:rPr>
      </w:pPr>
    </w:p>
    <w:p w:rsidR="00F7323A" w:rsidRPr="00A0338B" w:rsidRDefault="00F7323A" w:rsidP="00A219F9">
      <w:pPr>
        <w:pStyle w:val="Hding"/>
      </w:pPr>
      <w:bookmarkStart w:id="37" w:name="_Toc507921592"/>
      <w:bookmarkStart w:id="38" w:name="_Toc514145340"/>
      <w:r w:rsidRPr="00A0338B">
        <w:t>Complaints</w:t>
      </w:r>
      <w:bookmarkEnd w:id="37"/>
      <w:bookmarkEnd w:id="38"/>
    </w:p>
    <w:p w:rsidR="00F7323A" w:rsidRPr="006E4FF4" w:rsidRDefault="00F7323A" w:rsidP="00F7323A">
      <w:pPr>
        <w:rPr>
          <w:rFonts w:cs="Arial"/>
          <w:szCs w:val="22"/>
        </w:rPr>
      </w:pPr>
      <w:r w:rsidRPr="006E4FF4">
        <w:rPr>
          <w:rFonts w:cs="Arial"/>
          <w:szCs w:val="22"/>
        </w:rPr>
        <w:t xml:space="preserve">For information on how data subjects can complain about a </w:t>
      </w:r>
      <w:proofErr w:type="gramStart"/>
      <w:r w:rsidRPr="006E4FF4">
        <w:rPr>
          <w:rFonts w:cs="Arial"/>
          <w:szCs w:val="22"/>
        </w:rPr>
        <w:t>SAR</w:t>
      </w:r>
      <w:proofErr w:type="gramEnd"/>
      <w:r w:rsidRPr="006E4FF4">
        <w:rPr>
          <w:rFonts w:cs="Arial"/>
          <w:szCs w:val="22"/>
        </w:rPr>
        <w:t xml:space="preserve"> refer to section 15 of the SAR Policy</w:t>
      </w:r>
    </w:p>
    <w:p w:rsidR="00F7323A" w:rsidRPr="00A0338B" w:rsidRDefault="00F7323A" w:rsidP="00A219F9">
      <w:pPr>
        <w:pStyle w:val="Hding"/>
      </w:pPr>
      <w:bookmarkStart w:id="39" w:name="_Toc507921593"/>
      <w:bookmarkStart w:id="40" w:name="_Toc514145341"/>
      <w:r w:rsidRPr="00A0338B">
        <w:t>Further information</w:t>
      </w:r>
      <w:bookmarkEnd w:id="39"/>
      <w:bookmarkEnd w:id="40"/>
    </w:p>
    <w:p w:rsidR="007F6D63" w:rsidRPr="00B62DDC" w:rsidRDefault="00F7323A" w:rsidP="00B16007">
      <w:r w:rsidRPr="006E4FF4">
        <w:rPr>
          <w:rFonts w:cs="Arial"/>
          <w:szCs w:val="22"/>
        </w:rPr>
        <w:t xml:space="preserve">If you need any more information about this procedure or any other aspect of Subject Access requests, please contact </w:t>
      </w:r>
      <w:r w:rsidR="00B16007">
        <w:rPr>
          <w:rFonts w:cs="Arial"/>
          <w:szCs w:val="22"/>
        </w:rPr>
        <w:t>the Business Manager.</w:t>
      </w:r>
    </w:p>
    <w:sectPr w:rsidR="007F6D63" w:rsidRPr="00B62DDC" w:rsidSect="00DD013E">
      <w:footerReference w:type="default" r:id="rId8"/>
      <w:headerReference w:type="first" r:id="rId9"/>
      <w:footerReference w:type="first" r:id="rId10"/>
      <w:pgSz w:w="12240" w:h="15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50D" w:rsidRDefault="0071450D">
      <w:r>
        <w:separator/>
      </w:r>
    </w:p>
  </w:endnote>
  <w:endnote w:type="continuationSeparator" w:id="0">
    <w:p w:rsidR="0071450D" w:rsidRDefault="0071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3E" w:rsidRPr="00DD013E" w:rsidRDefault="00DD013E">
    <w:pPr>
      <w:pStyle w:val="Footer"/>
      <w:jc w:val="right"/>
      <w:rPr>
        <w:rFonts w:ascii="Calibri" w:hAnsi="Calibri" w:cs="Calibri"/>
      </w:rPr>
    </w:pPr>
    <w:r w:rsidRPr="00DD013E">
      <w:rPr>
        <w:rFonts w:ascii="Calibri" w:hAnsi="Calibri" w:cs="Calibri"/>
      </w:rPr>
      <w:fldChar w:fldCharType="begin"/>
    </w:r>
    <w:r w:rsidRPr="00DD013E">
      <w:rPr>
        <w:rFonts w:ascii="Calibri" w:hAnsi="Calibri" w:cs="Calibri"/>
      </w:rPr>
      <w:instrText xml:space="preserve"> PAGE   \* MERGEFORMAT </w:instrText>
    </w:r>
    <w:r w:rsidRPr="00DD013E">
      <w:rPr>
        <w:rFonts w:ascii="Calibri" w:hAnsi="Calibri" w:cs="Calibri"/>
      </w:rPr>
      <w:fldChar w:fldCharType="separate"/>
    </w:r>
    <w:r w:rsidR="00BF0C54">
      <w:rPr>
        <w:rFonts w:ascii="Calibri" w:hAnsi="Calibri" w:cs="Calibri"/>
        <w:noProof/>
      </w:rPr>
      <w:t>10</w:t>
    </w:r>
    <w:r w:rsidRPr="00DD013E">
      <w:rPr>
        <w:rFonts w:ascii="Calibri" w:hAnsi="Calibri" w:cs="Calibri"/>
        <w:noProof/>
      </w:rPr>
      <w:fldChar w:fldCharType="end"/>
    </w:r>
  </w:p>
  <w:p w:rsidR="00DD013E" w:rsidRDefault="00DD0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20" w:rsidRPr="00306620" w:rsidRDefault="00306620">
    <w:pPr>
      <w:pStyle w:val="Footer"/>
      <w:jc w:val="right"/>
      <w:rPr>
        <w:rFonts w:ascii="Calibri" w:hAnsi="Calibri" w:cs="Calibri"/>
      </w:rPr>
    </w:pPr>
    <w:r w:rsidRPr="00306620">
      <w:rPr>
        <w:rFonts w:ascii="Calibri" w:hAnsi="Calibri" w:cs="Calibri"/>
      </w:rPr>
      <w:fldChar w:fldCharType="begin"/>
    </w:r>
    <w:r w:rsidRPr="00306620">
      <w:rPr>
        <w:rFonts w:ascii="Calibri" w:hAnsi="Calibri" w:cs="Calibri"/>
      </w:rPr>
      <w:instrText xml:space="preserve"> PAGE   \* MERGEFORMAT </w:instrText>
    </w:r>
    <w:r w:rsidRPr="00306620">
      <w:rPr>
        <w:rFonts w:ascii="Calibri" w:hAnsi="Calibri" w:cs="Calibri"/>
      </w:rPr>
      <w:fldChar w:fldCharType="separate"/>
    </w:r>
    <w:r w:rsidR="00BF0C54">
      <w:rPr>
        <w:rFonts w:ascii="Calibri" w:hAnsi="Calibri" w:cs="Calibri"/>
        <w:noProof/>
      </w:rPr>
      <w:t>1</w:t>
    </w:r>
    <w:r w:rsidRPr="00306620">
      <w:rPr>
        <w:rFonts w:ascii="Calibri" w:hAnsi="Calibri" w:cs="Calibri"/>
        <w:noProof/>
      </w:rPr>
      <w:fldChar w:fldCharType="end"/>
    </w:r>
  </w:p>
  <w:p w:rsidR="00306620" w:rsidRDefault="00306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50D" w:rsidRDefault="0071450D">
      <w:r>
        <w:separator/>
      </w:r>
    </w:p>
  </w:footnote>
  <w:footnote w:type="continuationSeparator" w:id="0">
    <w:p w:rsidR="0071450D" w:rsidRDefault="0071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3E" w:rsidRPr="00245205" w:rsidRDefault="0057607A" w:rsidP="00DD013E">
    <w:pPr>
      <w:autoSpaceDE w:val="0"/>
      <w:autoSpaceDN w:val="0"/>
      <w:adjustRightInd w:val="0"/>
      <w:rPr>
        <w:rFonts w:ascii="Calibri" w:hAnsi="Calibri" w:cs="Calibri"/>
        <w:b/>
        <w:sz w:val="32"/>
        <w:szCs w:val="32"/>
      </w:rPr>
    </w:pPr>
    <w:r w:rsidRPr="00B7422B">
      <w:rPr>
        <w:rFonts w:ascii="Calibri" w:hAnsi="Calibri" w:cs="Calibri"/>
        <w:b/>
        <w:noProof/>
        <w:sz w:val="32"/>
        <w:szCs w:val="32"/>
      </w:rPr>
      <w:drawing>
        <wp:anchor distT="0" distB="0" distL="114300" distR="114300" simplePos="0" relativeHeight="251657728" behindDoc="0" locked="0" layoutInCell="1" allowOverlap="1">
          <wp:simplePos x="0" y="0"/>
          <wp:positionH relativeFrom="margin">
            <wp:posOffset>5887085</wp:posOffset>
          </wp:positionH>
          <wp:positionV relativeFrom="margin">
            <wp:posOffset>-719455</wp:posOffset>
          </wp:positionV>
          <wp:extent cx="719455" cy="749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49935"/>
                  </a:xfrm>
                  <a:prstGeom prst="rect">
                    <a:avLst/>
                  </a:prstGeom>
                  <a:noFill/>
                </pic:spPr>
              </pic:pic>
            </a:graphicData>
          </a:graphic>
          <wp14:sizeRelH relativeFrom="page">
            <wp14:pctWidth>0</wp14:pctWidth>
          </wp14:sizeRelH>
          <wp14:sizeRelV relativeFrom="page">
            <wp14:pctHeight>0</wp14:pctHeight>
          </wp14:sizeRelV>
        </wp:anchor>
      </w:drawing>
    </w:r>
    <w:r w:rsidR="00DD013E" w:rsidRPr="00245205">
      <w:rPr>
        <w:rFonts w:ascii="Calibri" w:hAnsi="Calibri" w:cs="Calibri"/>
        <w:b/>
        <w:sz w:val="32"/>
        <w:szCs w:val="32"/>
      </w:rPr>
      <w:t xml:space="preserve">Ivel Valley School </w:t>
    </w:r>
  </w:p>
  <w:p w:rsidR="00DD013E" w:rsidRDefault="00DD0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076"/>
    <w:multiLevelType w:val="hybridMultilevel"/>
    <w:tmpl w:val="E98094E0"/>
    <w:lvl w:ilvl="0" w:tplc="2B7EFE00">
      <w:start w:val="9"/>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18DA151D"/>
    <w:multiLevelType w:val="hybridMultilevel"/>
    <w:tmpl w:val="483A60B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95F04DB"/>
    <w:multiLevelType w:val="hybridMultilevel"/>
    <w:tmpl w:val="D4DEDB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A0430A1"/>
    <w:multiLevelType w:val="hybridMultilevel"/>
    <w:tmpl w:val="9CECA0A2"/>
    <w:lvl w:ilvl="0" w:tplc="D794F742">
      <w:start w:val="1"/>
      <w:numFmt w:val="decimal"/>
      <w:pStyle w:val="Hding"/>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03AE3"/>
    <w:multiLevelType w:val="hybridMultilevel"/>
    <w:tmpl w:val="8AF20F34"/>
    <w:lvl w:ilvl="0" w:tplc="15CA24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B4541"/>
    <w:multiLevelType w:val="hybridMultilevel"/>
    <w:tmpl w:val="1BD078D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5D21F33"/>
    <w:multiLevelType w:val="hybridMultilevel"/>
    <w:tmpl w:val="41388204"/>
    <w:lvl w:ilvl="0" w:tplc="08090001">
      <w:start w:val="1"/>
      <w:numFmt w:val="bullet"/>
      <w:pStyle w:val="BulletedListLevel1"/>
      <w:lvlText w:val=""/>
      <w:lvlJc w:val="left"/>
      <w:pPr>
        <w:ind w:left="1440" w:hanging="360"/>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49363D"/>
    <w:multiLevelType w:val="multilevel"/>
    <w:tmpl w:val="E0C0DB2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D35E54"/>
    <w:multiLevelType w:val="hybridMultilevel"/>
    <w:tmpl w:val="B4FA4A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77E57"/>
    <w:multiLevelType w:val="hybridMultilevel"/>
    <w:tmpl w:val="3A2E4D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391104CC"/>
    <w:multiLevelType w:val="hybridMultilevel"/>
    <w:tmpl w:val="8D76864E"/>
    <w:lvl w:ilvl="0" w:tplc="15CA2448">
      <w:numFmt w:val="bullet"/>
      <w:lvlText w:val="•"/>
      <w:lvlJc w:val="left"/>
      <w:pPr>
        <w:ind w:left="720" w:hanging="360"/>
      </w:pPr>
      <w:rPr>
        <w:rFonts w:ascii="Calibri" w:eastAsiaTheme="minorHAnsi" w:hAnsi="Calibri" w:cs="Calibri"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36178"/>
    <w:multiLevelType w:val="hybridMultilevel"/>
    <w:tmpl w:val="0F56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F6B96"/>
    <w:multiLevelType w:val="multilevel"/>
    <w:tmpl w:val="1C2C4536"/>
    <w:lvl w:ilvl="0">
      <w:start w:val="1"/>
      <w:numFmt w:val="decimal"/>
      <w:pStyle w:val="1NumberingHeadingLevel1"/>
      <w:lvlText w:val="%1"/>
      <w:lvlJc w:val="left"/>
      <w:pPr>
        <w:ind w:left="1304" w:hanging="1304"/>
      </w:pPr>
      <w:rPr>
        <w:rFonts w:ascii="Arial" w:hAnsi="Arial" w:hint="default"/>
        <w:b/>
        <w:i w:val="0"/>
        <w:sz w:val="28"/>
      </w:rPr>
    </w:lvl>
    <w:lvl w:ilvl="1">
      <w:start w:val="1"/>
      <w:numFmt w:val="decimal"/>
      <w:pStyle w:val="11Numberinglevel2"/>
      <w:lvlText w:val="%1.%2"/>
      <w:lvlJc w:val="left"/>
      <w:pPr>
        <w:ind w:left="1304" w:hanging="1304"/>
      </w:pPr>
      <w:rPr>
        <w:rFonts w:hint="default"/>
      </w:rPr>
    </w:lvl>
    <w:lvl w:ilvl="2">
      <w:start w:val="1"/>
      <w:numFmt w:val="decimal"/>
      <w:pStyle w:val="111Numberinglevel3"/>
      <w:lvlText w:val="%1.%2.%3"/>
      <w:lvlJc w:val="left"/>
      <w:pPr>
        <w:ind w:left="1304" w:hanging="130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8F7598"/>
    <w:multiLevelType w:val="multilevel"/>
    <w:tmpl w:val="D6AE579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762030A"/>
    <w:multiLevelType w:val="multilevel"/>
    <w:tmpl w:val="AF84E6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1557A3"/>
    <w:multiLevelType w:val="hybridMultilevel"/>
    <w:tmpl w:val="A8925A2C"/>
    <w:lvl w:ilvl="0" w:tplc="15CA244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BE356CA"/>
    <w:multiLevelType w:val="hybridMultilevel"/>
    <w:tmpl w:val="B32A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029CF"/>
    <w:multiLevelType w:val="hybridMultilevel"/>
    <w:tmpl w:val="473AFCD0"/>
    <w:lvl w:ilvl="0" w:tplc="15CA244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FCD0077"/>
    <w:multiLevelType w:val="hybridMultilevel"/>
    <w:tmpl w:val="E320025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44F6E1A"/>
    <w:multiLevelType w:val="hybridMultilevel"/>
    <w:tmpl w:val="45BCD03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8F54F36"/>
    <w:multiLevelType w:val="hybridMultilevel"/>
    <w:tmpl w:val="3FAAA81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D690554"/>
    <w:multiLevelType w:val="multilevel"/>
    <w:tmpl w:val="358A53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2"/>
  </w:num>
  <w:num w:numId="3">
    <w:abstractNumId w:val="12"/>
    <w:lvlOverride w:ilvl="0">
      <w:lvl w:ilvl="0">
        <w:start w:val="1"/>
        <w:numFmt w:val="decimal"/>
        <w:pStyle w:val="1NumberingHeadingLevel1"/>
        <w:lvlText w:val="%1"/>
        <w:lvlJc w:val="left"/>
        <w:pPr>
          <w:ind w:left="1304" w:hanging="1304"/>
        </w:pPr>
        <w:rPr>
          <w:rFonts w:ascii="Arial" w:hAnsi="Arial" w:hint="default"/>
          <w:b/>
          <w:i w:val="0"/>
          <w:sz w:val="28"/>
        </w:rPr>
      </w:lvl>
    </w:lvlOverride>
    <w:lvlOverride w:ilvl="1">
      <w:lvl w:ilvl="1">
        <w:start w:val="1"/>
        <w:numFmt w:val="decimal"/>
        <w:pStyle w:val="11Numberinglevel2"/>
        <w:lvlText w:val="%1.%2"/>
        <w:lvlJc w:val="left"/>
        <w:pPr>
          <w:ind w:left="1446" w:hanging="1304"/>
        </w:pPr>
        <w:rPr>
          <w:rFonts w:hint="default"/>
        </w:rPr>
      </w:lvl>
    </w:lvlOverride>
    <w:lvlOverride w:ilvl="2">
      <w:lvl w:ilvl="2">
        <w:start w:val="1"/>
        <w:numFmt w:val="decimal"/>
        <w:pStyle w:val="111Numberinglevel3"/>
        <w:lvlText w:val="%1.%2.%3"/>
        <w:lvlJc w:val="left"/>
        <w:pPr>
          <w:ind w:left="1304" w:hanging="1304"/>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3"/>
  </w:num>
  <w:num w:numId="5">
    <w:abstractNumId w:val="15"/>
  </w:num>
  <w:num w:numId="6">
    <w:abstractNumId w:val="17"/>
  </w:num>
  <w:num w:numId="7">
    <w:abstractNumId w:val="4"/>
  </w:num>
  <w:num w:numId="8">
    <w:abstractNumId w:val="10"/>
  </w:num>
  <w:num w:numId="9">
    <w:abstractNumId w:val="1"/>
  </w:num>
  <w:num w:numId="10">
    <w:abstractNumId w:val="20"/>
  </w:num>
  <w:num w:numId="11">
    <w:abstractNumId w:val="19"/>
  </w:num>
  <w:num w:numId="12">
    <w:abstractNumId w:val="5"/>
  </w:num>
  <w:num w:numId="13">
    <w:abstractNumId w:val="18"/>
  </w:num>
  <w:num w:numId="14">
    <w:abstractNumId w:val="12"/>
    <w:lvlOverride w:ilvl="0">
      <w:lvl w:ilvl="0">
        <w:start w:val="1"/>
        <w:numFmt w:val="decimal"/>
        <w:pStyle w:val="1NumberingHeadingLevel1"/>
        <w:lvlText w:val="%1"/>
        <w:lvlJc w:val="left"/>
        <w:pPr>
          <w:ind w:left="1304" w:hanging="1304"/>
        </w:pPr>
        <w:rPr>
          <w:rFonts w:ascii="Arial" w:hAnsi="Arial" w:hint="default"/>
          <w:b/>
          <w:i w:val="0"/>
          <w:sz w:val="28"/>
        </w:rPr>
      </w:lvl>
    </w:lvlOverride>
    <w:lvlOverride w:ilvl="1">
      <w:lvl w:ilvl="1">
        <w:start w:val="1"/>
        <w:numFmt w:val="decimal"/>
        <w:pStyle w:val="11Numberinglevel2"/>
        <w:lvlText w:val="%1.%2"/>
        <w:lvlJc w:val="left"/>
        <w:pPr>
          <w:ind w:left="1446" w:hanging="1304"/>
        </w:pPr>
        <w:rPr>
          <w:rFonts w:hint="default"/>
        </w:rPr>
      </w:lvl>
    </w:lvlOverride>
    <w:lvlOverride w:ilvl="2">
      <w:lvl w:ilvl="2">
        <w:start w:val="1"/>
        <w:numFmt w:val="decimal"/>
        <w:pStyle w:val="111Numberinglevel3"/>
        <w:lvlText w:val="%1.%2.%3"/>
        <w:lvlJc w:val="left"/>
        <w:pPr>
          <w:ind w:left="1304" w:hanging="1304"/>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5">
    <w:abstractNumId w:val="12"/>
    <w:lvlOverride w:ilvl="0">
      <w:lvl w:ilvl="0">
        <w:start w:val="1"/>
        <w:numFmt w:val="decimal"/>
        <w:pStyle w:val="1NumberingHeadingLevel1"/>
        <w:lvlText w:val="%1"/>
        <w:lvlJc w:val="left"/>
        <w:pPr>
          <w:ind w:left="1304" w:hanging="1304"/>
        </w:pPr>
        <w:rPr>
          <w:rFonts w:ascii="Arial" w:hAnsi="Arial" w:hint="default"/>
          <w:b/>
          <w:i w:val="0"/>
          <w:sz w:val="28"/>
        </w:rPr>
      </w:lvl>
    </w:lvlOverride>
    <w:lvlOverride w:ilvl="1">
      <w:lvl w:ilvl="1">
        <w:start w:val="1"/>
        <w:numFmt w:val="decimal"/>
        <w:pStyle w:val="11Numberinglevel2"/>
        <w:lvlText w:val="%1.%2"/>
        <w:lvlJc w:val="left"/>
        <w:pPr>
          <w:ind w:left="1304" w:hanging="1304"/>
        </w:pPr>
        <w:rPr>
          <w:rFonts w:hint="default"/>
        </w:rPr>
      </w:lvl>
    </w:lvlOverride>
    <w:lvlOverride w:ilvl="2">
      <w:lvl w:ilvl="2">
        <w:start w:val="1"/>
        <w:numFmt w:val="decimal"/>
        <w:pStyle w:val="111Numberinglevel3"/>
        <w:lvlText w:val="%1.%2.%3"/>
        <w:lvlJc w:val="left"/>
        <w:pPr>
          <w:ind w:left="1304" w:hanging="1304"/>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6">
    <w:abstractNumId w:val="11"/>
  </w:num>
  <w:num w:numId="17">
    <w:abstractNumId w:val="16"/>
  </w:num>
  <w:num w:numId="18">
    <w:abstractNumId w:val="8"/>
  </w:num>
  <w:num w:numId="19">
    <w:abstractNumId w:val="13"/>
  </w:num>
  <w:num w:numId="20">
    <w:abstractNumId w:val="9"/>
  </w:num>
  <w:num w:numId="21">
    <w:abstractNumId w:val="0"/>
  </w:num>
  <w:num w:numId="22">
    <w:abstractNumId w:val="7"/>
  </w:num>
  <w:num w:numId="23">
    <w:abstractNumId w:val="2"/>
  </w:num>
  <w:num w:numId="24">
    <w:abstractNumId w:val="21"/>
  </w:num>
  <w:num w:numId="2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26"/>
    <w:rsid w:val="00006ABA"/>
    <w:rsid w:val="00072B3D"/>
    <w:rsid w:val="00077070"/>
    <w:rsid w:val="00081FFF"/>
    <w:rsid w:val="000949C8"/>
    <w:rsid w:val="000A5A4D"/>
    <w:rsid w:val="000D762B"/>
    <w:rsid w:val="000E0293"/>
    <w:rsid w:val="00137A13"/>
    <w:rsid w:val="00150F9C"/>
    <w:rsid w:val="00152568"/>
    <w:rsid w:val="00162DC7"/>
    <w:rsid w:val="001B2904"/>
    <w:rsid w:val="001E1611"/>
    <w:rsid w:val="001F35F7"/>
    <w:rsid w:val="00201C86"/>
    <w:rsid w:val="00241608"/>
    <w:rsid w:val="00282AB4"/>
    <w:rsid w:val="002A30D6"/>
    <w:rsid w:val="00306620"/>
    <w:rsid w:val="003076E5"/>
    <w:rsid w:val="003720D0"/>
    <w:rsid w:val="00380A30"/>
    <w:rsid w:val="003D687A"/>
    <w:rsid w:val="003F669D"/>
    <w:rsid w:val="00421B15"/>
    <w:rsid w:val="0046039D"/>
    <w:rsid w:val="00485FB8"/>
    <w:rsid w:val="004A2D7F"/>
    <w:rsid w:val="00564053"/>
    <w:rsid w:val="0057607A"/>
    <w:rsid w:val="00581A44"/>
    <w:rsid w:val="005E2B56"/>
    <w:rsid w:val="005F0608"/>
    <w:rsid w:val="00654907"/>
    <w:rsid w:val="00662287"/>
    <w:rsid w:val="006A0426"/>
    <w:rsid w:val="006A73BE"/>
    <w:rsid w:val="006B7EEE"/>
    <w:rsid w:val="006C293B"/>
    <w:rsid w:val="006F579A"/>
    <w:rsid w:val="006F5C84"/>
    <w:rsid w:val="00705DEB"/>
    <w:rsid w:val="0071450D"/>
    <w:rsid w:val="00716F8E"/>
    <w:rsid w:val="00755934"/>
    <w:rsid w:val="00763735"/>
    <w:rsid w:val="007A4732"/>
    <w:rsid w:val="007C75DE"/>
    <w:rsid w:val="007E1CCE"/>
    <w:rsid w:val="007F6D63"/>
    <w:rsid w:val="008064D9"/>
    <w:rsid w:val="008156BA"/>
    <w:rsid w:val="00834FA2"/>
    <w:rsid w:val="00845BF4"/>
    <w:rsid w:val="008817AA"/>
    <w:rsid w:val="008D2D22"/>
    <w:rsid w:val="008E6736"/>
    <w:rsid w:val="00902CF3"/>
    <w:rsid w:val="00906817"/>
    <w:rsid w:val="009731E5"/>
    <w:rsid w:val="00980A3F"/>
    <w:rsid w:val="009A7D1A"/>
    <w:rsid w:val="009B63B8"/>
    <w:rsid w:val="009C59F8"/>
    <w:rsid w:val="00A04AB2"/>
    <w:rsid w:val="00A122BC"/>
    <w:rsid w:val="00A158FF"/>
    <w:rsid w:val="00A219F9"/>
    <w:rsid w:val="00A85337"/>
    <w:rsid w:val="00A9255D"/>
    <w:rsid w:val="00A94F67"/>
    <w:rsid w:val="00AB7724"/>
    <w:rsid w:val="00AE3471"/>
    <w:rsid w:val="00AE4CED"/>
    <w:rsid w:val="00B14773"/>
    <w:rsid w:val="00B16007"/>
    <w:rsid w:val="00B21B97"/>
    <w:rsid w:val="00B50905"/>
    <w:rsid w:val="00B52E43"/>
    <w:rsid w:val="00B5342C"/>
    <w:rsid w:val="00B62DDC"/>
    <w:rsid w:val="00B830EC"/>
    <w:rsid w:val="00B8678F"/>
    <w:rsid w:val="00BF0C54"/>
    <w:rsid w:val="00C05F0C"/>
    <w:rsid w:val="00C17ED7"/>
    <w:rsid w:val="00C32395"/>
    <w:rsid w:val="00C372F2"/>
    <w:rsid w:val="00C64275"/>
    <w:rsid w:val="00C71087"/>
    <w:rsid w:val="00C77ED1"/>
    <w:rsid w:val="00CA6EEB"/>
    <w:rsid w:val="00CE13D0"/>
    <w:rsid w:val="00CE77E9"/>
    <w:rsid w:val="00CF12CA"/>
    <w:rsid w:val="00D115D7"/>
    <w:rsid w:val="00D27CC9"/>
    <w:rsid w:val="00D30204"/>
    <w:rsid w:val="00D520B2"/>
    <w:rsid w:val="00D64937"/>
    <w:rsid w:val="00D835DB"/>
    <w:rsid w:val="00DA16D2"/>
    <w:rsid w:val="00DC3CC9"/>
    <w:rsid w:val="00DD013E"/>
    <w:rsid w:val="00DE0178"/>
    <w:rsid w:val="00DE0B6C"/>
    <w:rsid w:val="00E8629B"/>
    <w:rsid w:val="00EA2EFC"/>
    <w:rsid w:val="00EB1503"/>
    <w:rsid w:val="00EE1EFF"/>
    <w:rsid w:val="00EF128C"/>
    <w:rsid w:val="00F06598"/>
    <w:rsid w:val="00F10D06"/>
    <w:rsid w:val="00F512B0"/>
    <w:rsid w:val="00F53138"/>
    <w:rsid w:val="00F7323A"/>
    <w:rsid w:val="00FB1147"/>
    <w:rsid w:val="00FE1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44DCB"/>
  <w15:chartTrackingRefBased/>
  <w15:docId w15:val="{B670C044-C7F1-4A9A-88C3-EB090CE3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ED1"/>
  </w:style>
  <w:style w:type="paragraph" w:styleId="Heading1">
    <w:name w:val="heading 1"/>
    <w:basedOn w:val="Normal"/>
    <w:next w:val="Normal"/>
    <w:link w:val="Heading1Char"/>
    <w:uiPriority w:val="9"/>
    <w:qFormat/>
    <w:rsid w:val="00C77ED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77ED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77ED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C77ED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C77ED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77ED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77ED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77ED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77ED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uiPriority w:val="99"/>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5F7"/>
    <w:pPr>
      <w:ind w:left="720"/>
      <w:contextualSpacing/>
    </w:pPr>
  </w:style>
  <w:style w:type="character" w:styleId="Emphasis">
    <w:name w:val="Emphasis"/>
    <w:uiPriority w:val="20"/>
    <w:qFormat/>
    <w:rsid w:val="00C77ED1"/>
    <w:rPr>
      <w:caps/>
      <w:color w:val="1F4D78" w:themeColor="accent1" w:themeShade="7F"/>
      <w:spacing w:val="5"/>
    </w:rPr>
  </w:style>
  <w:style w:type="character" w:customStyle="1" w:styleId="FooterChar">
    <w:name w:val="Footer Char"/>
    <w:link w:val="Footer"/>
    <w:uiPriority w:val="99"/>
    <w:rsid w:val="00DD013E"/>
    <w:rPr>
      <w:sz w:val="24"/>
      <w:szCs w:val="24"/>
      <w:lang w:val="en-US" w:eastAsia="en-US"/>
    </w:rPr>
  </w:style>
  <w:style w:type="paragraph" w:styleId="BalloonText">
    <w:name w:val="Balloon Text"/>
    <w:basedOn w:val="Normal"/>
    <w:link w:val="BalloonTextChar"/>
    <w:rsid w:val="00306620"/>
    <w:rPr>
      <w:rFonts w:ascii="Tahoma" w:hAnsi="Tahoma" w:cs="Tahoma"/>
      <w:sz w:val="16"/>
      <w:szCs w:val="16"/>
    </w:rPr>
  </w:style>
  <w:style w:type="character" w:customStyle="1" w:styleId="BalloonTextChar">
    <w:name w:val="Balloon Text Char"/>
    <w:link w:val="BalloonText"/>
    <w:rsid w:val="00306620"/>
    <w:rPr>
      <w:rFonts w:ascii="Tahoma" w:hAnsi="Tahoma" w:cs="Tahoma"/>
      <w:sz w:val="16"/>
      <w:szCs w:val="16"/>
      <w:lang w:val="en-US" w:eastAsia="en-US"/>
    </w:rPr>
  </w:style>
  <w:style w:type="paragraph" w:customStyle="1" w:styleId="11Numberinglevel2">
    <w:name w:val="1.1 Numbering level 2"/>
    <w:basedOn w:val="Normal"/>
    <w:link w:val="11Numberinglevel2Char"/>
    <w:qFormat/>
    <w:rsid w:val="00BF0C54"/>
    <w:pPr>
      <w:numPr>
        <w:ilvl w:val="1"/>
        <w:numId w:val="2"/>
      </w:numPr>
      <w:spacing w:before="240" w:after="240"/>
      <w:ind w:left="709" w:hanging="709"/>
    </w:pPr>
    <w:rPr>
      <w:rFonts w:ascii="Arial" w:eastAsia="Calibri" w:hAnsi="Arial"/>
      <w:sz w:val="22"/>
      <w:lang w:eastAsia="ja-JP"/>
    </w:rPr>
  </w:style>
  <w:style w:type="character" w:customStyle="1" w:styleId="11Numberinglevel2Char">
    <w:name w:val="1.1 Numbering level 2 Char"/>
    <w:link w:val="11Numberinglevel2"/>
    <w:rsid w:val="00BF0C54"/>
    <w:rPr>
      <w:rFonts w:ascii="Arial" w:eastAsia="Calibri" w:hAnsi="Arial"/>
      <w:sz w:val="22"/>
      <w:lang w:eastAsia="ja-JP"/>
    </w:rPr>
  </w:style>
  <w:style w:type="character" w:styleId="Hyperlink">
    <w:name w:val="Hyperlink"/>
    <w:uiPriority w:val="99"/>
    <w:rsid w:val="00A94F67"/>
    <w:rPr>
      <w:color w:val="0000FF"/>
      <w:u w:val="single"/>
    </w:rPr>
  </w:style>
  <w:style w:type="paragraph" w:customStyle="1" w:styleId="BulletedListLevel1">
    <w:name w:val="Bulleted List Level 1"/>
    <w:basedOn w:val="Normal"/>
    <w:link w:val="BulletedListLevel1Char"/>
    <w:qFormat/>
    <w:rsid w:val="00A94F67"/>
    <w:pPr>
      <w:numPr>
        <w:numId w:val="1"/>
      </w:numPr>
      <w:spacing w:before="120" w:after="120" w:line="264" w:lineRule="auto"/>
    </w:pPr>
    <w:rPr>
      <w:rFonts w:ascii="Arial" w:eastAsia="Calibri" w:hAnsi="Arial" w:cs="Arial"/>
      <w:sz w:val="22"/>
    </w:rPr>
  </w:style>
  <w:style w:type="character" w:customStyle="1" w:styleId="BulletedListLevel1Char">
    <w:name w:val="Bulleted List Level 1 Char"/>
    <w:link w:val="BulletedListLevel1"/>
    <w:rsid w:val="00A94F67"/>
    <w:rPr>
      <w:rFonts w:ascii="Arial" w:eastAsia="Calibri" w:hAnsi="Arial" w:cs="Arial"/>
      <w:sz w:val="22"/>
    </w:rPr>
  </w:style>
  <w:style w:type="paragraph" w:customStyle="1" w:styleId="1NumberingHeadingLevel1">
    <w:name w:val="1 Numbering Heading Level 1"/>
    <w:basedOn w:val="Normal"/>
    <w:next w:val="11Numberinglevel2"/>
    <w:link w:val="1NumberingHeadingLevel1Char"/>
    <w:qFormat/>
    <w:rsid w:val="00A94F67"/>
    <w:pPr>
      <w:numPr>
        <w:numId w:val="2"/>
      </w:numPr>
      <w:spacing w:before="240" w:after="240"/>
    </w:pPr>
    <w:rPr>
      <w:rFonts w:ascii="Arial" w:eastAsia="Calibri" w:hAnsi="Arial"/>
      <w:b/>
      <w:sz w:val="28"/>
    </w:rPr>
  </w:style>
  <w:style w:type="character" w:customStyle="1" w:styleId="1NumberingHeadingLevel1Char">
    <w:name w:val="1 Numbering Heading Level 1 Char"/>
    <w:link w:val="1NumberingHeadingLevel1"/>
    <w:rsid w:val="00A94F67"/>
    <w:rPr>
      <w:rFonts w:ascii="Arial" w:eastAsia="Calibri" w:hAnsi="Arial"/>
      <w:b/>
      <w:sz w:val="28"/>
    </w:rPr>
  </w:style>
  <w:style w:type="paragraph" w:customStyle="1" w:styleId="111Numberinglevel3">
    <w:name w:val="1.1.1 Numbering level 3"/>
    <w:basedOn w:val="11Numberinglevel2"/>
    <w:link w:val="111Numberinglevel3Char"/>
    <w:qFormat/>
    <w:rsid w:val="00A94F67"/>
    <w:pPr>
      <w:numPr>
        <w:ilvl w:val="2"/>
      </w:numPr>
      <w:ind w:left="709" w:hanging="709"/>
    </w:pPr>
  </w:style>
  <w:style w:type="character" w:customStyle="1" w:styleId="111Numberinglevel3Char">
    <w:name w:val="1.1.1 Numbering level 3 Char"/>
    <w:link w:val="111Numberinglevel3"/>
    <w:rsid w:val="00A94F67"/>
    <w:rPr>
      <w:rFonts w:ascii="Arial" w:eastAsia="Calibri" w:hAnsi="Arial"/>
      <w:sz w:val="22"/>
      <w:lang w:eastAsia="ja-JP"/>
    </w:rPr>
  </w:style>
  <w:style w:type="character" w:customStyle="1" w:styleId="Heading1Char">
    <w:name w:val="Heading 1 Char"/>
    <w:basedOn w:val="DefaultParagraphFont"/>
    <w:link w:val="Heading1"/>
    <w:uiPriority w:val="9"/>
    <w:rsid w:val="00C77ED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C77ED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C77ED1"/>
    <w:rPr>
      <w:caps/>
      <w:color w:val="1F4D78" w:themeColor="accent1" w:themeShade="7F"/>
      <w:spacing w:val="15"/>
    </w:rPr>
  </w:style>
  <w:style w:type="character" w:customStyle="1" w:styleId="Heading4Char">
    <w:name w:val="Heading 4 Char"/>
    <w:basedOn w:val="DefaultParagraphFont"/>
    <w:link w:val="Heading4"/>
    <w:uiPriority w:val="9"/>
    <w:semiHidden/>
    <w:rsid w:val="00C77ED1"/>
    <w:rPr>
      <w:caps/>
      <w:color w:val="2E74B5" w:themeColor="accent1" w:themeShade="BF"/>
      <w:spacing w:val="10"/>
    </w:rPr>
  </w:style>
  <w:style w:type="character" w:customStyle="1" w:styleId="Heading5Char">
    <w:name w:val="Heading 5 Char"/>
    <w:basedOn w:val="DefaultParagraphFont"/>
    <w:link w:val="Heading5"/>
    <w:uiPriority w:val="9"/>
    <w:semiHidden/>
    <w:rsid w:val="00C77ED1"/>
    <w:rPr>
      <w:caps/>
      <w:color w:val="2E74B5" w:themeColor="accent1" w:themeShade="BF"/>
      <w:spacing w:val="10"/>
    </w:rPr>
  </w:style>
  <w:style w:type="character" w:customStyle="1" w:styleId="Heading6Char">
    <w:name w:val="Heading 6 Char"/>
    <w:basedOn w:val="DefaultParagraphFont"/>
    <w:link w:val="Heading6"/>
    <w:uiPriority w:val="9"/>
    <w:semiHidden/>
    <w:rsid w:val="00C77ED1"/>
    <w:rPr>
      <w:caps/>
      <w:color w:val="2E74B5" w:themeColor="accent1" w:themeShade="BF"/>
      <w:spacing w:val="10"/>
    </w:rPr>
  </w:style>
  <w:style w:type="character" w:customStyle="1" w:styleId="Heading7Char">
    <w:name w:val="Heading 7 Char"/>
    <w:basedOn w:val="DefaultParagraphFont"/>
    <w:link w:val="Heading7"/>
    <w:uiPriority w:val="9"/>
    <w:semiHidden/>
    <w:rsid w:val="00C77ED1"/>
    <w:rPr>
      <w:caps/>
      <w:color w:val="2E74B5" w:themeColor="accent1" w:themeShade="BF"/>
      <w:spacing w:val="10"/>
    </w:rPr>
  </w:style>
  <w:style w:type="character" w:customStyle="1" w:styleId="Heading8Char">
    <w:name w:val="Heading 8 Char"/>
    <w:basedOn w:val="DefaultParagraphFont"/>
    <w:link w:val="Heading8"/>
    <w:uiPriority w:val="9"/>
    <w:semiHidden/>
    <w:rsid w:val="00C77ED1"/>
    <w:rPr>
      <w:caps/>
      <w:spacing w:val="10"/>
      <w:sz w:val="18"/>
      <w:szCs w:val="18"/>
    </w:rPr>
  </w:style>
  <w:style w:type="character" w:customStyle="1" w:styleId="Heading9Char">
    <w:name w:val="Heading 9 Char"/>
    <w:basedOn w:val="DefaultParagraphFont"/>
    <w:link w:val="Heading9"/>
    <w:uiPriority w:val="9"/>
    <w:semiHidden/>
    <w:rsid w:val="00C77ED1"/>
    <w:rPr>
      <w:i/>
      <w:iCs/>
      <w:caps/>
      <w:spacing w:val="10"/>
      <w:sz w:val="18"/>
      <w:szCs w:val="18"/>
    </w:rPr>
  </w:style>
  <w:style w:type="paragraph" w:styleId="Caption">
    <w:name w:val="caption"/>
    <w:basedOn w:val="Normal"/>
    <w:next w:val="Normal"/>
    <w:uiPriority w:val="35"/>
    <w:semiHidden/>
    <w:unhideWhenUsed/>
    <w:qFormat/>
    <w:rsid w:val="00C77ED1"/>
    <w:rPr>
      <w:b/>
      <w:bCs/>
      <w:color w:val="2E74B5" w:themeColor="accent1" w:themeShade="BF"/>
      <w:sz w:val="16"/>
      <w:szCs w:val="16"/>
    </w:rPr>
  </w:style>
  <w:style w:type="paragraph" w:styleId="Title">
    <w:name w:val="Title"/>
    <w:basedOn w:val="Normal"/>
    <w:next w:val="Normal"/>
    <w:link w:val="TitleChar"/>
    <w:uiPriority w:val="10"/>
    <w:qFormat/>
    <w:rsid w:val="00C77ED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77ED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77ED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77ED1"/>
    <w:rPr>
      <w:caps/>
      <w:color w:val="595959" w:themeColor="text1" w:themeTint="A6"/>
      <w:spacing w:val="10"/>
      <w:sz w:val="21"/>
      <w:szCs w:val="21"/>
    </w:rPr>
  </w:style>
  <w:style w:type="character" w:styleId="Strong">
    <w:name w:val="Strong"/>
    <w:uiPriority w:val="22"/>
    <w:qFormat/>
    <w:rsid w:val="00C77ED1"/>
    <w:rPr>
      <w:b/>
      <w:bCs/>
    </w:rPr>
  </w:style>
  <w:style w:type="paragraph" w:styleId="NoSpacing">
    <w:name w:val="No Spacing"/>
    <w:uiPriority w:val="1"/>
    <w:qFormat/>
    <w:rsid w:val="00C77ED1"/>
    <w:pPr>
      <w:spacing w:after="0" w:line="240" w:lineRule="auto"/>
    </w:pPr>
  </w:style>
  <w:style w:type="paragraph" w:styleId="Quote">
    <w:name w:val="Quote"/>
    <w:basedOn w:val="Normal"/>
    <w:next w:val="Normal"/>
    <w:link w:val="QuoteChar"/>
    <w:uiPriority w:val="29"/>
    <w:qFormat/>
    <w:rsid w:val="00C77ED1"/>
    <w:rPr>
      <w:i/>
      <w:iCs/>
      <w:sz w:val="24"/>
      <w:szCs w:val="24"/>
    </w:rPr>
  </w:style>
  <w:style w:type="character" w:customStyle="1" w:styleId="QuoteChar">
    <w:name w:val="Quote Char"/>
    <w:basedOn w:val="DefaultParagraphFont"/>
    <w:link w:val="Quote"/>
    <w:uiPriority w:val="29"/>
    <w:rsid w:val="00C77ED1"/>
    <w:rPr>
      <w:i/>
      <w:iCs/>
      <w:sz w:val="24"/>
      <w:szCs w:val="24"/>
    </w:rPr>
  </w:style>
  <w:style w:type="paragraph" w:styleId="IntenseQuote">
    <w:name w:val="Intense Quote"/>
    <w:basedOn w:val="Normal"/>
    <w:next w:val="Normal"/>
    <w:link w:val="IntenseQuoteChar"/>
    <w:uiPriority w:val="30"/>
    <w:qFormat/>
    <w:rsid w:val="00C77ED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77ED1"/>
    <w:rPr>
      <w:color w:val="5B9BD5" w:themeColor="accent1"/>
      <w:sz w:val="24"/>
      <w:szCs w:val="24"/>
    </w:rPr>
  </w:style>
  <w:style w:type="character" w:styleId="SubtleEmphasis">
    <w:name w:val="Subtle Emphasis"/>
    <w:uiPriority w:val="19"/>
    <w:qFormat/>
    <w:rsid w:val="00C77ED1"/>
    <w:rPr>
      <w:i/>
      <w:iCs/>
      <w:color w:val="1F4D78" w:themeColor="accent1" w:themeShade="7F"/>
    </w:rPr>
  </w:style>
  <w:style w:type="character" w:styleId="IntenseEmphasis">
    <w:name w:val="Intense Emphasis"/>
    <w:uiPriority w:val="21"/>
    <w:qFormat/>
    <w:rsid w:val="00C77ED1"/>
    <w:rPr>
      <w:b/>
      <w:bCs/>
      <w:caps/>
      <w:color w:val="1F4D78" w:themeColor="accent1" w:themeShade="7F"/>
      <w:spacing w:val="10"/>
    </w:rPr>
  </w:style>
  <w:style w:type="character" w:styleId="SubtleReference">
    <w:name w:val="Subtle Reference"/>
    <w:uiPriority w:val="31"/>
    <w:qFormat/>
    <w:rsid w:val="00C77ED1"/>
    <w:rPr>
      <w:b/>
      <w:bCs/>
      <w:color w:val="5B9BD5" w:themeColor="accent1"/>
    </w:rPr>
  </w:style>
  <w:style w:type="character" w:styleId="IntenseReference">
    <w:name w:val="Intense Reference"/>
    <w:uiPriority w:val="32"/>
    <w:qFormat/>
    <w:rsid w:val="00C77ED1"/>
    <w:rPr>
      <w:b/>
      <w:bCs/>
      <w:i/>
      <w:iCs/>
      <w:caps/>
      <w:color w:val="5B9BD5" w:themeColor="accent1"/>
    </w:rPr>
  </w:style>
  <w:style w:type="character" w:styleId="BookTitle">
    <w:name w:val="Book Title"/>
    <w:uiPriority w:val="33"/>
    <w:qFormat/>
    <w:rsid w:val="00C77ED1"/>
    <w:rPr>
      <w:b/>
      <w:bCs/>
      <w:i/>
      <w:iCs/>
      <w:spacing w:val="0"/>
    </w:rPr>
  </w:style>
  <w:style w:type="paragraph" w:styleId="TOCHeading">
    <w:name w:val="TOC Heading"/>
    <w:basedOn w:val="Heading1"/>
    <w:next w:val="Normal"/>
    <w:uiPriority w:val="39"/>
    <w:unhideWhenUsed/>
    <w:qFormat/>
    <w:rsid w:val="00C77ED1"/>
    <w:pPr>
      <w:outlineLvl w:val="9"/>
    </w:pPr>
  </w:style>
  <w:style w:type="paragraph" w:customStyle="1" w:styleId="Hding">
    <w:name w:val="Hding"/>
    <w:basedOn w:val="Heading1"/>
    <w:link w:val="HdingChar"/>
    <w:qFormat/>
    <w:rsid w:val="00C71087"/>
    <w:pPr>
      <w:numPr>
        <w:numId w:val="4"/>
      </w:numPr>
    </w:pPr>
    <w:rPr>
      <w:rFonts w:ascii="Arial" w:hAnsi="Arial"/>
      <w:caps w:val="0"/>
    </w:rPr>
  </w:style>
  <w:style w:type="character" w:customStyle="1" w:styleId="HdingChar">
    <w:name w:val="Hding Char"/>
    <w:basedOn w:val="Heading1Char"/>
    <w:link w:val="Hding"/>
    <w:rsid w:val="00C71087"/>
    <w:rPr>
      <w:rFonts w:ascii="Arial" w:hAnsi="Arial"/>
      <w:caps w:val="0"/>
      <w:color w:val="FFFFFF" w:themeColor="background1"/>
      <w:spacing w:val="15"/>
      <w:sz w:val="22"/>
      <w:szCs w:val="22"/>
      <w:shd w:val="clear" w:color="auto" w:fill="5B9BD5" w:themeFill="accent1"/>
    </w:rPr>
  </w:style>
  <w:style w:type="paragraph" w:styleId="TOC2">
    <w:name w:val="toc 2"/>
    <w:basedOn w:val="Normal"/>
    <w:next w:val="Normal"/>
    <w:autoRedefine/>
    <w:uiPriority w:val="39"/>
    <w:unhideWhenUsed/>
    <w:rsid w:val="004A2D7F"/>
    <w:pPr>
      <w:spacing w:before="0" w:after="100" w:line="259" w:lineRule="auto"/>
      <w:ind w:left="220"/>
    </w:pPr>
    <w:rPr>
      <w:rFonts w:cs="Times New Roman"/>
      <w:sz w:val="22"/>
      <w:szCs w:val="22"/>
      <w:lang w:val="en-US" w:eastAsia="en-US"/>
    </w:rPr>
  </w:style>
  <w:style w:type="paragraph" w:styleId="TOC1">
    <w:name w:val="toc 1"/>
    <w:basedOn w:val="Normal"/>
    <w:next w:val="Normal"/>
    <w:autoRedefine/>
    <w:uiPriority w:val="39"/>
    <w:unhideWhenUsed/>
    <w:rsid w:val="004A2D7F"/>
    <w:pPr>
      <w:spacing w:before="0" w:after="100" w:line="259" w:lineRule="auto"/>
    </w:pPr>
    <w:rPr>
      <w:rFonts w:cs="Times New Roman"/>
      <w:sz w:val="22"/>
      <w:szCs w:val="22"/>
      <w:lang w:val="en-US" w:eastAsia="en-US"/>
    </w:rPr>
  </w:style>
  <w:style w:type="paragraph" w:styleId="TOC3">
    <w:name w:val="toc 3"/>
    <w:basedOn w:val="Normal"/>
    <w:next w:val="Normal"/>
    <w:autoRedefine/>
    <w:uiPriority w:val="39"/>
    <w:unhideWhenUsed/>
    <w:rsid w:val="004A2D7F"/>
    <w:pPr>
      <w:spacing w:before="0" w:after="100" w:line="259" w:lineRule="auto"/>
      <w:ind w:left="440"/>
    </w:pPr>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04490">
      <w:bodyDiv w:val="1"/>
      <w:marLeft w:val="0"/>
      <w:marRight w:val="0"/>
      <w:marTop w:val="0"/>
      <w:marBottom w:val="0"/>
      <w:divBdr>
        <w:top w:val="none" w:sz="0" w:space="0" w:color="auto"/>
        <w:left w:val="none" w:sz="0" w:space="0" w:color="auto"/>
        <w:bottom w:val="none" w:sz="0" w:space="0" w:color="auto"/>
        <w:right w:val="none" w:sz="0" w:space="0" w:color="auto"/>
      </w:divBdr>
      <w:divsChild>
        <w:div w:id="1478376181">
          <w:marLeft w:val="0"/>
          <w:marRight w:val="0"/>
          <w:marTop w:val="0"/>
          <w:marBottom w:val="0"/>
          <w:divBdr>
            <w:top w:val="none" w:sz="0" w:space="0" w:color="auto"/>
            <w:left w:val="none" w:sz="0" w:space="0" w:color="auto"/>
            <w:bottom w:val="none" w:sz="0" w:space="0" w:color="auto"/>
            <w:right w:val="none" w:sz="0" w:space="0" w:color="auto"/>
          </w:divBdr>
          <w:divsChild>
            <w:div w:id="1485899308">
              <w:marLeft w:val="0"/>
              <w:marRight w:val="0"/>
              <w:marTop w:val="0"/>
              <w:marBottom w:val="0"/>
              <w:divBdr>
                <w:top w:val="none" w:sz="0" w:space="0" w:color="auto"/>
                <w:left w:val="none" w:sz="0" w:space="0" w:color="auto"/>
                <w:bottom w:val="none" w:sz="0" w:space="0" w:color="auto"/>
                <w:right w:val="none" w:sz="0" w:space="0" w:color="auto"/>
              </w:divBdr>
            </w:div>
          </w:divsChild>
        </w:div>
        <w:div w:id="1897474893">
          <w:marLeft w:val="0"/>
          <w:marRight w:val="0"/>
          <w:marTop w:val="0"/>
          <w:marBottom w:val="0"/>
          <w:divBdr>
            <w:top w:val="none" w:sz="0" w:space="0" w:color="auto"/>
            <w:left w:val="none" w:sz="0" w:space="0" w:color="auto"/>
            <w:bottom w:val="none" w:sz="0" w:space="0" w:color="auto"/>
            <w:right w:val="none" w:sz="0" w:space="0" w:color="auto"/>
          </w:divBdr>
        </w:div>
        <w:div w:id="134882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media/for-organisations/documents/how-to-disclose-information-safely-removing-personal-data-from-information-requests-and-datasets/2013958/how-to-disclose-information-safel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1639</TotalTime>
  <Pages>10</Pages>
  <Words>3850</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TRC Ltd.</vt:lpstr>
    </vt:vector>
  </TitlesOfParts>
  <Company>BGCBC</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keywords/>
  <cp:lastModifiedBy>Ian Hall</cp:lastModifiedBy>
  <cp:revision>16</cp:revision>
  <cp:lastPrinted>2015-11-11T14:05:00Z</cp:lastPrinted>
  <dcterms:created xsi:type="dcterms:W3CDTF">2018-05-15T10:10:00Z</dcterms:created>
  <dcterms:modified xsi:type="dcterms:W3CDTF">2018-05-24T13:00:00Z</dcterms:modified>
</cp:coreProperties>
</file>